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RA200013 vom 8. Oktober 2020</w:t>
      </w:r>
    </w:p>
    <w:p>
      <w:r>
        <w:t>ZH Obergericht, 2020-10-08, DE</w:t>
      </w:r>
    </w:p>
    <w:p>
      <w:r>
        <w:rPr>
          <w:b/>
        </w:rPr>
        <w:t xml:space="preserve">Quelle: </w:t>
      </w:r>
      <w:r>
        <w:t>https://mcp.opencaselaw.ch/entscheid/zh_obergericht_RA200013</w:t>
      </w:r>
    </w:p>
    <w:p>
      <w:r>
        <w:t>FR: ZH_OBERGERICHT RA200013 du 8 octobre 2020</w:t>
      </w:r>
    </w:p>
    <w:p>
      <w:r>
        <w:t>IT: ZH_OBERGERICHT RA200013 del 8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stehen sich seit dem 3. März 2020 in einem arbeitsrechtlichen Verfahren vor dem Arbeitsgericht Bülach gegenüber (Urk. 6/2/2). Mit Eingabe vom</w:t>
      </w:r>
    </w:p>
    <w:p>
      <w:r>
        <w:rPr>
          <w:b/>
        </w:rPr>
        <w:t>E. 4</w:t>
      </w:r>
    </w:p>
    <w:p>
      <w:r>
        <w:t>Juni 2020 stellte der Kläger und Beschwerdeführer (fortan Kläger) ein Aus- standsbegehren gegen den verfahrensleitenden Bezirksrichter lic. iur. C._____ (Urk. 6/5). Am 9. Juni 2020 nahm Bezirksrichter C._____ zum Ausstandsbegeh- ren Stellung (Urk. 6/7) und überwies dieses gleichentags an die II. Abteilung des Bezirksgerichts Bülach (Urk. 6/8). Der Kläger äusserte sich mit Eingabe vom 2. Juli 2020 zur Stellungnahme von Bezirksrichter C._____ (Urk. 6/14). Die Beklagte und Beschwerdegegnerin liess sich innert angesetzter Frist nicht vernehmen (vgl. Urk. 6/9 und Urk. 6/10 S. 2). Am 7. Juli 2020 erliess die Vorinstanz folgenden Be- schluss (Urk. 6/17 S. 5):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