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RA200011 vom 17. September 2020</w:t>
      </w:r>
    </w:p>
    <w:p>
      <w:r>
        <w:t>ZH Obergericht, 2020-09-17, DE</w:t>
      </w:r>
    </w:p>
    <w:p>
      <w:r>
        <w:rPr>
          <w:b/>
        </w:rPr>
        <w:t xml:space="preserve">Quelle: </w:t>
      </w:r>
      <w:r>
        <w:t>https://mcp.opencaselaw.ch/entscheid/zh_obergericht_RA200011</w:t>
      </w:r>
    </w:p>
    <w:p>
      <w:r>
        <w:t>FR: ZH_OBERGERICHT RA200011 du 17 septembre 2020</w:t>
      </w:r>
    </w:p>
    <w:p>
      <w:r>
        <w:t>IT: ZH_OBERGERICHT RA200011 del 17 settembre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Am 10. Oktober 2019 reichte die Klägerin beim Arbeitsgericht Bülach (Vorinstanz) eine Klage über arbeitsrechtliche Forderungen mit einem Streitwert von Fr. 16'389.35 ein (Vi-Urk. 2/2 Rz. 4; die mit der Klage eingereichte Klagebewilligung vom 13. Juni 2019 führte einen Streitwert von Fr. 70'000.-- auf, Vi-Urk. 2/1 S. 1). Mit der Klageantwort vom 7. Januar 2020 erhob die Beklagte Widerklage mit einem Streitwert von Fr. 53'797.90 (Vi-Urk. 2/10 S. 2) und bean- tragte die Behandlung von Klage und Widerklage im ordentlichen Verfahren bzw. das Verfahren an das Kollegialgericht zu überweisen (Vi-Urk. 2/10 Rz. 16). Nach Einholung einer Stellungnahme der Klägerin (Vi-Urk. 2/16) überwies die Vor- instanz das Verfahren mit Verfügung vom 9. April 2020 in Anwendung von § 25 Satz 2 GOG dem Kollegialgericht (im vereinfachten Verfahren; Vi-Urk. 1). Mit Be- schluss vom 15. Juni 2020 delegierte die Vorinstanz die Prozessleitung an ein Gerichtsmitglied und setzte der Klägerin Frist zur schriftlichen Replik und Wider- klageantwort an (Vi-Urk. 10). Mit Eingabe vom 8. Juli 2020 beantragte die Kläge- rin einen Zwischenentscheid über die Zulässigkeit der Widerklage und die Ab- nahme, ev. Erstreckung der Frist für Replik und Widerklageantwort (Vi-Urk. 12). Mit Verfügung vom 10. Juli 2020 trat die Vorinstanz auf das Begehren auf Fällung eines Zwischenentscheides nicht ein, überwies die Klagen ins ordentliche Verfah- ren und erstreckte der Klägerin die Frist für Replik und Widerklageantwort bis zum 31. August 2020 (Vi-Urk. 13 = Urk. 2). b) Hiergegen erhob die Klägerin am 25. August 2020 fristgerecht (Urk. 14) Beschwerde und stellte die Beschwerdeanträge (Urk. 1 S. 2): "1. Es sei die Verfügung des Arbeitsgerichts Bülach vom 10. Juli 2020 (Ge- schäfts-Nr. AN 200006) aufzuheben.</w:t>
      </w:r>
    </w:p>
    <w:p>
      <w:r>
        <w:rPr>
          <w:b/>
        </w:rPr>
        <w:t>E. 2</w:t>
      </w:r>
    </w:p>
    <w:p>
      <w:r>
        <w:t>Es sei auf die Widerklage der Beklagten nicht einzutreten und die Vor- instanz anzuweisen, die Klage weiterhin im vereinfachten Verfahren zu behandeln.</w:t>
      </w:r>
    </w:p>
    <w:p>
      <w:r>
        <w:rPr>
          <w:b/>
        </w:rPr>
        <w:t>E. 3</w:t>
      </w:r>
    </w:p>
    <w:p>
      <w:r>
        <w:t>Eventualiter sei die Vorinstanz anzuweisen, über die Zulässigkeit der Widerklage durch Zwischenentscheid im Sinne von Art. 237 ZPO zu entscheiden.</w:t>
      </w:r>
    </w:p>
    <w:p>
      <w:r>
        <w:rPr>
          <w:b/>
        </w:rPr>
        <w:t>E. 4</w:t>
      </w:r>
    </w:p>
    <w:p>
      <w:r>
        <w:t>a) Infolge Kostenlosigkeit des (bisherigen) vorinstanzlichen arbeits- rechtlichen Verfahrens ist auch das vorliegende Beschwerdeverfahren kostenlos (Art. 114 lit. c ZPO). b) Für das Beschwerdeverfahren sind keine Parteientschädigungen zuzu- sprechen, der Klägerin zufolge ihres Unterliegens, der Beklagten mangels rele- vanter Umtriebe (Art. 106 Abs. 1, Art. 95 Abs. 3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