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RA200009 vom 2. November 2020</w:t>
      </w:r>
    </w:p>
    <w:p>
      <w:r>
        <w:t>ZH Obergericht, 2020-11-02, DE</w:t>
      </w:r>
    </w:p>
    <w:p>
      <w:r>
        <w:rPr>
          <w:b/>
        </w:rPr>
        <w:t xml:space="preserve">Quelle: </w:t>
      </w:r>
      <w:r>
        <w:t>https://mcp.opencaselaw.ch/entscheid/zh_obergericht_RA200009</w:t>
      </w:r>
    </w:p>
    <w:p>
      <w:r>
        <w:t>FR: ZH_OBERGERICHT RA200009 du 2 novembre 2020</w:t>
      </w:r>
    </w:p>
    <w:p>
      <w:r>
        <w:t>IT: ZH_OBERGERICHT RA200009 del 2 novembre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August 2001 bei der D._____ AG, welche in der Folge von der E._____ Ma- nagement AG (vormals F._____ Management AG) übernommen wurde. Mit Wir- kung per 1. August 2018 übernahm sodann die Beklagte und Beschwerdeführerin (nachfolgend: Beklagte) die vorerwähnte Gesellschaft und mit dieser auch das Arbeitsverhältnis des Klägers. Der Kläger kündigte im Januar 2019, woraufhin in gegenseitigem Einvernehmen das Anstellungsverhältnis am 31. März 2019 ende- te (Urk. 21 S. 3).</w:t>
      </w:r>
    </w:p>
    <w:p>
      <w:r>
        <w:rPr>
          <w:b/>
        </w:rPr>
        <w:t>E. 1.1</w:t>
      </w:r>
    </w:p>
    <w:p>
      <w:r>
        <w:t>Der Kläger und Beschwerdegegner (nachfolgend: Kläger) arbeitete seit dem</w:t>
      </w:r>
    </w:p>
    <w:p>
      <w:r>
        <w:rPr>
          <w:b/>
        </w:rPr>
        <w:t>E. 1.2</w:t>
      </w:r>
    </w:p>
    <w:p>
      <w:r>
        <w:t>Unter Beilage der Klagebewilligung des Friedensrichteramts Kreise … und … der Stadt Zürich vom 23. September 2019 (Urk. 3) gelangte der Kläger mit sei- ner Klage vom 8. November 2019 an die Vorinstanz und stellte nachfolgendes Rechtsbegehren (Urk. 1 S. 2): "Es sei die Beklagte zu verpflichten, dem Kläger Fr. 9'500.– (brutto) zu bezahlen, zzgl. Zins zu 5% seit 1. April 2019. Unter allfälligen Kosten- sowie Entschädigungsfolgen (zzgl. MWST) zu Lasten der Beklagten."</w:t>
      </w:r>
    </w:p>
    <w:p>
      <w:r>
        <w:rPr>
          <w:b/>
        </w:rPr>
        <w:t>E. 1.3</w:t>
      </w:r>
    </w:p>
    <w:p>
      <w:r>
        <w:t>Nachdem die Beklagte mit Eingabe vom 3. Januar 2020 zur Klage Stellung genommen hatte (Urk. 11), hielten die Parteien anlässlich der Hauptverhandlung ihre weiteren Vorträge (Prot. S. 4 ff.). In der Folge erliess die Vorinstanz das an- gefochtene Urteil. Das Dispositiv lautet wie folgt: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