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RA180010 vom 17. Oktober 2018</w:t>
      </w:r>
    </w:p>
    <w:p>
      <w:r>
        <w:t>ZH Obergericht, 2018-10-17, DE</w:t>
      </w:r>
    </w:p>
    <w:p>
      <w:r>
        <w:rPr>
          <w:b/>
        </w:rPr>
        <w:t xml:space="preserve">Quelle: </w:t>
      </w:r>
      <w:r>
        <w:t>https://mcp.opencaselaw.ch/entscheid/zh_obergericht_RA180010</w:t>
      </w:r>
    </w:p>
    <w:p>
      <w:r>
        <w:t>FR: ZH_OBERGERICHT RA180010 du 17 octobre 2018</w:t>
      </w:r>
    </w:p>
    <w:p>
      <w:r>
        <w:t>IT: ZH_OBERGERICHT RA180010 del 17 ottobre 2018</w:t>
      </w:r>
    </w:p>
    <w:p>
      <w:pPr>
        <w:pStyle w:val="Heading2"/>
      </w:pPr>
      <w:r>
        <w:t>Erwägungen</w:t>
      </w:r>
    </w:p>
    <w:p>
      <w:r>
        <w:rPr>
          <w:b/>
        </w:rPr>
        <w:t>E. 2</w:t>
      </w:r>
    </w:p>
    <w:p>
      <w:r>
        <w:t>Es erfolgt eine Angabe eines neuen Wohnsitz Domizil und trotzdem der Abdruck im kantonalen Amtsblatt sowie im schweizerischen Handels- blatt.</w:t>
      </w:r>
    </w:p>
    <w:p>
      <w:r>
        <w:rPr>
          <w:b/>
        </w:rPr>
        <w:t>E. 3</w:t>
      </w:r>
    </w:p>
    <w:p>
      <w:r>
        <w:t>Die Firma B'._____ leistet eine Sicherheitsleistung in der Höhe von 500'000.- C._____ innerhalb 10 Tagen, zuzüglich den bereist geforder- ten 420'000 CHFr, welche innerhalb von 30 Tagen zu erbringen sind.</w:t>
      </w:r>
    </w:p>
    <w:p>
      <w:r>
        <w:rPr>
          <w:b/>
        </w:rPr>
        <w:t>E. 4</w:t>
      </w:r>
    </w:p>
    <w:p>
      <w:r>
        <w:t>Die Firma B'._____ leistet eine weitere Sicherheitsleistung in der höhe von 91 Milliarden Tonnen Gold und stellt den Transport dessen an mein neues Wohnsitzdomizil in Thailand sicher.</w:t>
      </w:r>
    </w:p>
    <w:p>
      <w:r>
        <w:rPr>
          <w:b/>
        </w:rPr>
        <w:t>E. 5</w:t>
      </w:r>
    </w:p>
    <w:p>
      <w:r>
        <w:t>Ebenfalls wird ersucht das Verfahren in ein Land zu verlegen in wel- chem die Folter sowie die Todesstraffe juristisch legitimiert sind." da im Beschwerdeverfahren neue Anträge ausgeschlossen sind (Art. 326 Abs. 1 ZPO), weshalb auf die Beschwerdeanträge 3 (die zusätzlich geforderte Sicher- heitsleistung von C._____ 500'000.-- betreffend), 4 und 5 nicht einzutreten ist, da der Beschwerdeantrag 2 nicht verständlich ist, weshalb auch auf diesen nicht einzutreten ist, da die Vorinstanz hinsichtlich der verfügten Sicherheitsleistung von Fr. 3'900.-- für die Parteientschädigung der Beklagten erwog, der Kläger selber habe in der Kla- ge vom 20. August 2018 und in der Eingabe vom 24. September 2018 geltend gemacht, er verfüge ab 29. Oktober 2018 über keinen Wohnsitz mehr in der Schweiz, womit alle Voraussetzungen für eine Sicherheitsleistung gemäss Art. 99 Abs. 1 lit. a ZPO erfüllt seien (Urk. 2 S. 2 f.),</w:t>
      </w:r>
    </w:p>
    <w:p>
      <w:r>
        <w:t>- 3 - da der Kläger dem in seiner Beschwerde einzig entgegenhält, dass es aufgrund der vorliegenden Beweise höchst unwahrscheinlich sei, dass der Beklagten eine Parteientschädigung zugesprochen werde (Urk. 1 S. 2), da für die Anordnung einer Sicherheitsleistung für die Parteientschädigung der Gegenpartei im Sinne von Art. 99 Abs. 1 lit. a ZPO die Wahrscheinlichkeit der Zu- sprechung einer Parteientschädigung irrelevant ist, womit die Beschwerde sich diesbezüglich als unbegründet erweist, da die Vorinstanz hinsichtlich der verfügten Abweisung der vom Kläger geforder- ten Sicherheitsleistung von Fr. 420'000.-- erwog, dass dafür keine Rechtsgrund- lage ersichtlich sei (Urk. 2 S. 3), da der Kläger dem in seiner Beschwerde nichts entgegenhält, womit diese sich auch diesbezüglich als unbegründet erweist, weshalb insgesamt die Beschwerde abzuweisen ist, soweit auf sie einzutreten ist, da die Beschwerde zwar an der Grenze zur Mutwilligkeit i.S.v. Art. 115 ZPO liegt, diese jedoch noch nicht überschreitet, weshalb das Beschwerdeverfahren kosten- los ist (Art. 114 lit. c ZPO), da für das Beschwerdeverfahren – dem Kläger zufolge seines Unterliegens und der Beklagten mangels relevanter Umtriebe – keine Parteientschädigungen zuzu- sprechen sind (Art. 95 Abs. 3, Art. 106 Abs. 1 ZPO),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