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RA170010 vom 24. August 2017</w:t>
      </w:r>
    </w:p>
    <w:p>
      <w:r>
        <w:t>ZH Obergericht, 2017-08-24, DE</w:t>
      </w:r>
    </w:p>
    <w:p>
      <w:r>
        <w:rPr>
          <w:b/>
        </w:rPr>
        <w:t xml:space="preserve">Quelle: </w:t>
      </w:r>
      <w:r>
        <w:t>https://mcp.opencaselaw.ch/entscheid/zh_obergericht_RA170010</w:t>
      </w:r>
    </w:p>
    <w:p>
      <w:r>
        <w:t>FR: ZH_OBERGERICHT RA170010 du 24 août 2017</w:t>
      </w:r>
    </w:p>
    <w:p>
      <w:r>
        <w:t>IT: ZH_OBERGERICHT RA170010 del 24 agosto 2017</w:t>
      </w:r>
    </w:p>
    <w:p>
      <w:pPr>
        <w:pStyle w:val="Heading2"/>
      </w:pPr>
      <w:r>
        <w:t>Erwägungen</w:t>
      </w:r>
    </w:p>
    <w:p>
      <w:r>
        <w:rPr>
          <w:b/>
        </w:rPr>
        <w:t>E. 1</w:t>
      </w:r>
    </w:p>
    <w:p>
      <w:r>
        <w:t>Juni 2017 abgeschlossenen, Berufungsverfahren war primär die Postulations- fähigkeit des Beklagten zu prüfen.</w:t>
      </w:r>
    </w:p>
    <w:p>
      <w:r>
        <w:rPr>
          <w:b/>
        </w:rPr>
        <w:t>E. 1.2</w:t>
      </w:r>
    </w:p>
    <w:p>
      <w:r>
        <w:t>Nachdem das Verfahren mit Beschluss der Kammer vom 1. Juni 2017 an die Vorinstanz zurückgewiesen wurde, verfügte diese am 4. August 2017, dass das Verfahren ab Klageantwort zu wiederholen sei und setzte dem Beklagten eine 20-tägige Frist zur Erstattung der Klageantwort (Urk. 2).</w:t>
      </w:r>
    </w:p>
    <w:p>
      <w:r>
        <w:rPr>
          <w:b/>
        </w:rPr>
        <w:t>E. 1.3</w:t>
      </w:r>
    </w:p>
    <w:p>
      <w:r>
        <w:t>Hiergegen erhob der Beklagte am 16. August 2017 (Datum Poststem- pel) fristgerecht Beschwerde (Urk. 1). 2.1 Der Beklagte hat seine Rechtsmitteleingabe zwar als "Beschwerde ge- gen die Verfügung vom 4.8.17" bezeichnet und an das Obergericht des Kantons Zürich gesandt (Urk. 1). Inhaltlich handelt es sich dabei jedoch einzig um ein Aus- standsgesuch gegen die vorinstanzliche Referentin. Der Beklagte wirft dieser vor, das Obergericht habe am 25. Juli 2017 [recte: 1. Juni 2017] das Urteil des Be- zirksgerichts Meilen aufgehoben und der Leiterin des Verfahrens schwere Verfah- rensfehler vorgeworfen; Fehler, die einer professionellen Richterin unter keinen Umständen unterlaufen dürften. Hinzu würden noch schwere Vorwürfe seinerseits kommen: Nicht nur, dass sie seiner Meinung nach jeglichen gesunden Men- schenverstand habe vermissen lassen; sie habe auch vergessen, dass man einen alten Mann wie einen Menschen und nicht wie einen Hund behandeln solle. Ent- sprechend erachte er die Referentin als befangen und ersuche das Gericht, das Verfahren einem anderen Richter zu übertragen (Urk. 1).</w:t>
      </w:r>
    </w:p>
    <w:p>
      <w:r>
        <w:t>- 3 - 2.2 Ein solches Ausstandsgesuch ist nicht bei der Rechtsmittelinstanz ein- zureichen, sondern muss bei der Vorinstanz eingereicht werden (Art. 49 Abs. 1 ZPO). Auf die als "Beschwerde" bezeichnete Eingabe des Beklagten kann somit nicht eingetreten werden. 2.3 Bei dieser Sachlage und mit Blick auf die Kostenfolgen erübrigt sich ei- ne weitere Abklärung der Postulationsfähigkeit des Beklagten für das vorliegende Beschwerdeverfahren; die Vorinstanz wird dagegen zu prüfen haben, wie es sich damit in ihrem Verfahren verhält (vgl. den Beschluss der Kammer vom 1. Juni 2017 im Berufungsverfahren LA160034-O). In diesem Zusammenhang sei darauf hingewiesen, dass Rechtsanwalt lic. iur. Y._____ telefonisch bestätigt hat, das Mandat niedergelegt zu haben (Urk. 4). 2.4 Da sich die Beschwerde als offensichtlich unzulässig erweist, kann auf das Einholen einer Beschwerdeantwort der Gegenpartei verzichtet werden (Art. 322 Abs. 1 ZPO). 3.1 Umständehalber ist auf die Erhebung von Gerichtskosten für das Be- schwerdeverfahren zu verzichten. 3.2 Für das Beschwerdeverfahren sind keine Parteientschädigungen zuzu- sprechen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