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RA170002 vom 27. April 2017</w:t>
      </w:r>
    </w:p>
    <w:p>
      <w:r>
        <w:t>ZH Obergericht, 2017-04-27, DE</w:t>
      </w:r>
    </w:p>
    <w:p>
      <w:r>
        <w:rPr>
          <w:b/>
        </w:rPr>
        <w:t xml:space="preserve">Quelle: </w:t>
      </w:r>
      <w:r>
        <w:t>https://mcp.opencaselaw.ch/entscheid/zh_obergericht_RA170002</w:t>
      </w:r>
    </w:p>
    <w:p>
      <w:r>
        <w:t>FR: ZH_OBERGERICHT RA170002 du 27 avril 2017</w:t>
      </w:r>
    </w:p>
    <w:p>
      <w:r>
        <w:t>IT: ZH_OBERGERICHT RA170002 del 27 aprile 2017</w:t>
      </w:r>
    </w:p>
    <w:p>
      <w:pPr>
        <w:pStyle w:val="Heading2"/>
      </w:pPr>
      <w:r>
        <w:t>Erwägungen</w:t>
      </w:r>
    </w:p>
    <w:p>
      <w:r>
        <w:rPr>
          <w:b/>
        </w:rPr>
        <w:t>E. 1</w:t>
      </w:r>
    </w:p>
    <w:p>
      <w:r>
        <w:t>a) Die Parteien stehen seit dem 20. Oktober 2014 vor Vorinstanz in einem arbeitsrechtlichen Forderungsprozess (vgl. Urk. 6/2 S. 1). Mit Präsidialverfügung vom 20. Februar 2017 entschied die Vorinstanz das Folgende (Urk. 2 S. 4 f.): " 1. Dem Kläger wird eine Frist von 10 Tagen ab Zustellung dieser Ver- fügung angesetzt, um für die Parteientschädigung der Beklagten eine Sicherheit in der Höhe von CHF 4'300.– zu leisten. Die Sicherheit kann in bar durch Einzahlung auf die Gerichtskasse (Postkonto 80-7340-5/IBAN: CH92 0900 0000 8000 7340 5) oder durch Garantie einer in der Schweiz niedergelassenen Bank oder eines zum Geschäftsbetrieb in der Schweiz zugelassenen Versi- cherungsunternehmens geleistet werden. Wird für die Zahlung die schweizerische Post benützt, so ist spätestens am letzten Tag der Frist die Sendung bei der schweizerischen Post aufzugeben, der Betrag einzuzahlen oder der Giroauftrag zu erteilen. Bei Sammel- aufträgen mit Datenträgern SAD ist die Frist gewahrt, wenn der Da- tenträger innerhalb der Frist der schweizerischen Post übergeben wird und darauf als Fälligkeitsdatum ein Tag bestimmt wird, der in- nerhalb der zweitägigen Bearbeitungszeit bei der schweizerischen Post liegt. Die Rechtzeitigkeit ist im Zweifelsfalle von der vor- schusspflichtigen Partei nachzuweisen. Bei Zahlungsauftrag an ei- ne Bank ist dafür zu sorgen, dass diese den Auftrag frühzeitig aus- führt.</w:t>
      </w:r>
    </w:p>
    <w:p>
      <w:r>
        <w:rPr>
          <w:b/>
        </w:rPr>
        <w:t>E. 2</w:t>
      </w:r>
    </w:p>
    <w:p>
      <w:r>
        <w:t>Auf den Sistierungsantrag der Beklagten wird nicht eingetreten.</w:t>
      </w:r>
    </w:p>
    <w:p>
      <w:r>
        <w:rPr>
          <w:b/>
        </w:rPr>
        <w:t>E. 3</w:t>
      </w:r>
    </w:p>
    <w:p>
      <w:r>
        <w:t>(Schriftliche Mitteilung.)</w:t>
      </w:r>
    </w:p>
    <w:p>
      <w:r>
        <w:rPr>
          <w:b/>
        </w:rPr>
        <w:t>E. 4</w:t>
      </w:r>
    </w:p>
    <w:p>
      <w:r>
        <w:t>a) Die erstinstanzliche Arbeitsgerichtspräsidentin führte in der angefoch- tenen Verfügung unter anderem aus, dass vorliegend die Zahlungsunfähigkeit des Klägers betreffend die Parteientschädigung der Beklagten und Beschwerdegeg- nerin (fortan Beklagte) aufgrund deren Vorbringen, aufgrund der Vorbringen des Klägers zur Begründung seines Gesuches um unentgeltliche Rechtspflege (unter Hinweis auf Urk. 6/42) sowie aufgrund dessen ausdrücklichen Eingeständnisses, er könne die von der Beklagten verlangte Sicherheitsleistung innert angemesse- ner Frist nicht aufbringen, als genügend glaubhaft erscheine (Urk. 2 S. 3). Auch die bisherige Bereitschaft der Ehegattin des Klägers, diesem finanziell auszuhel- fen, vermöge hieran nichts zu ändern. Ein allfälliger Anspruch des Klägers ge- genüber seiner Ehefrau auf einen Betrag zur freien Verfügung gemäss Art. 164 ZGB wäre doch – wie die Beklagte zu Recht geltend gemacht habe – im Zusam- menhang mit der Einbringung einer Parteientschädigung nicht pfändbar, was wie- derum für eine erhebliche Gefährdung der Parteientschädigung im Sinne von Art. 99 Abs. 1 lit. d ZPO spreche und einen Grund für die Verpflichtung zur Leis- tung einer entsprechenden Sicherheit darstelle (Urk. 2 S. 4).</w:t>
      </w:r>
    </w:p>
    <w:p>
      <w:r>
        <w:t>- 4 - Der Kläger führt in seiner Beschwerdeschrift aus, ihm sei bewusst, dass die Beklagte eine Sicherheit für die Parteientschädigung beantragen könne, wenn er (Art. 99 ZPO) in der Schweiz keinen Wohnsitz oder Sitz habe, zahlungsunfähig erscheine, namentlich wenn über ihn der Konkurs eröffnet oder ein Nachlassver- fahren im Gang sei oder Verlustscheine bestünden, Prozesskosten aus früheren Verfahren schulde oder wenn andere Gründe für eine erhebliche Gefährdung der Parteientschädigung bestünden. Er habe eine gültige Schweizer Niederlassungs- bewilligung Typ C und eine Anschrift in der Schweiz. Er könne seine Rechnungen nach wie vor fristgerecht bezahlen und es liefen keine Betreibungen gegen ihn. Er habe keinen Privatkonkurs beantragt. Es sei kein Nachlassverfahren gegen ihn im Gange und kein Gläubiger sei im Besitz von Verlustscheinen von ihm. Seine Pro- zesskosten aus früheren Verfahren habe er fristgerecht bezahlt und auch sonst bestünden keine anderen Gründe für eine erhebliche Gefährdung der Parteient- schädigung (Urk. 1 S. 2). b) Mit der Beschwerde kann die unrichtige Rechtsanwendung sowie die of- 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w:t>
      </w:r>
    </w:p>
    <w:p>
      <w:r>
        <w:t>- 5 - treten. Inhaltliche Nachbesserung der Begründung ist nach Ablauf der Beschwer- defrist nicht zulässig (BGer 5D_215/2015 vom 16. März 2016, E. 3.1 m.w.H.). c) Die Eingabe des Klägers vom 2. März 2017 ist als Beschwerde unzu- reichend, da sich dieser mit der Begründung der angefochtenen Verfügung nicht konkret auseinandergesetzt hat. Insbesondere führt er in seiner Beschwerde- schrift nicht aus, wieso die in vorstehender lit. a zitierten erstinstanzlichen Erwä- gungen nicht korrekt seien. So setzt sich der Kläger beispielsweise nicht substan- tiiert mit der Erwägung auseinander, dass vorliegend seine Zahlungsunfähigkeit betreffend die Parteientschädigung der Beklagten als genügend glaubhaft er- scheine, da er selber ausgeführt habe, er könne die von der Beklagten verlangte Sicherheitsleistung innert angemessener Frist nicht aufbringen. Hierzu äusserte sich der Kläger im Rahmen seiner Beschwerdeschrift nicht ausdrücklich. Da sich der Kläger auch im Übrigen mit den vorinstanzlichen Erwägungen der angefoch- tenen Verfügung nicht konkret auseinandersetzt, ist auf seine Beschwerde nicht einzutreten.</w:t>
      </w:r>
    </w:p>
    <w:p>
      <w:r>
        <w:rPr>
          <w:b/>
        </w:rPr>
        <w:t>E. 5</w:t>
      </w:r>
    </w:p>
    <w:p>
      <w:r>
        <w:t>Der Streitwert des vorliegenden arbeitsrechtlichen Verfahrens übersteigt in der Hauptsache Fr. 30'000.–, weshalb das Beschwerdeverfahren kostenpflich- tig ist (Art. 114 lit. c ZPO; vgl. Urk. 6/40 S. 2 und Urk. 6/55 S. 5). Bei diesem Aus- gang des Verfahrens wird der Kläger im Beschwerdeverfahren kostenpflichtig (Art. 106 Abs. 1 ZPO). Die Gebühr für das Beschwerdeverfahren ist gestützt auf § 9 Abs. 1 GebV OG sowie § 12 Abs. 1 und 2 GebV OG auf Fr. 350.– festzuset- zen. Mangels wesentlicher Umtriebe ist der Beklagten für das Beschwerdeverfah- 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