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RA160003 vom 19. Februar 2016</w:t>
      </w:r>
    </w:p>
    <w:p>
      <w:r>
        <w:t>ZH Obergericht, 2016-02-19, DE</w:t>
      </w:r>
    </w:p>
    <w:p>
      <w:r>
        <w:rPr>
          <w:b/>
        </w:rPr>
        <w:t xml:space="preserve">Quelle: </w:t>
      </w:r>
      <w:r>
        <w:t>https://mcp.opencaselaw.ch/entscheid/zh_obergericht_RA160003</w:t>
      </w:r>
    </w:p>
    <w:p>
      <w:r>
        <w:t>FR: ZH_OBERGERICHT RA160003 du 19 février 2016</w:t>
      </w:r>
    </w:p>
    <w:p>
      <w:r>
        <w:t>IT: ZH_OBERGERICHT RA160003 del 19 febbraio 2016</w:t>
      </w:r>
    </w:p>
    <w:p>
      <w:pPr>
        <w:pStyle w:val="Heading2"/>
      </w:pPr>
      <w:r>
        <w:t>Erwägungen</w:t>
      </w:r>
    </w:p>
    <w:p>
      <w:r>
        <w:rPr>
          <w:b/>
        </w:rPr>
        <w:t>E. 1</w:t>
      </w:r>
    </w:p>
    <w:p>
      <w:r>
        <w:t>a) Am 30. August 2015 hatte der Kläger beim Arbeitsgericht Zürich (Vorinstanz) gegen die Beklagte eine arbeitsrechtliche Forderungsklage einge- reicht, unter Beilage der entsprechenden Klagebewilligung (Vi-Urk. 1 und 2). Mit Beschluss vom 10. September 2015 war dem Kläger Frist angesetzt worden, um (ausgehend von einem Streitwert von einstweilen Fr. 523'732.--) einen Gerichts- kostenvorschuss von Fr. 21'200.-- zu leisten (Vi-Urk. 6), dieser ging rechtzeitig ein (Vi-Urk. 9). Nachdem der Beklagten mit Verfügung vom 5. Oktober 2015 Frist zur Klageantwort angesetzt worden war (Vi-Urk. 11), hatte diese innert erstreckter Frist (Vi-Urk. 13) am 13. November 2015 beantragt, den Kläger zur Sicherheits- leistung für ihre Parteientschädigung von Fr. 35'820.-- zu verpflichten, eventualiter das Verfahren bis zur Erledigung des gegen den Kläger geführten Strafverfahrens wegen ungetreuer Geschäftsbesorgung, Betrug, Veruntreuung etc. zu sistieren (Vi-Urk. 16). Am 18. Dezember 2015 hatte der Kläger zu diesen Verfahrensanträ- gen Stellung genommen (Vi-Urk. 21). Mit Beschluss vom 14. Januar 2016 wies die Vorinstanz die Anträge der Beklagten auf Sicherstellung der Parteientschädi- gung sowie Sistierung des Verfahrens ab und eröffnete der Beklagten die Frist zur Erstattung der Klageantwort neu (Vi-Urk. 22 = Urk. 2). b) Hiergegen hat die Beklagte am 28. Januar 2016 fristgerecht (Vi-Urk. 23/2) Beschwerde erhoben und stellt die Beschwerdeanträge (Urk. 1 S. 2): "1. Der angefochtene Beschluss sei aufzuheben und die Sache sei in der Weise zur Ergänzung des erstinstanzlichen Verfahrens und zu neuer Entscheidung an die Vorinstanz zurückzuweisen, dass diese vorerst durch Ansetzung einer Frist von mindestens 10 Tagen der Beschwerdeführerin Gelegenheit einräu- men solle, zur Stellungnahme vom 18. Dezember 2015 des Klägers und Be- schwerdegegners Stellung zu nehmen. 2.1. Eventualiter sei der vorinstanzliche Beschluss aufzuheben und der Kläger und Beschwerdegegner zu verpflichten, für die Parteientschädigung der Beklagten im vorinstanzlichen Verfahren mit der Geschäfts-Nr. AN150080-L/Z02 Sicher- heit in Höhe vom mindestens CHF 35'820.-- zu leisten. 2.2. Eventualiter sei der vorinstanzliche Beschluss aufzuheben und das vor- instanzliche Verfahren mit der Geschäfts-Nr. AN150080-L/Z02 sei für den Fall, dass der Kläger und Beschwerdegegner die gemäss Eventualantrag</w:t>
      </w:r>
    </w:p>
    <w:p>
      <w:r>
        <w:t>- 3 - Ziff. 2.1. hiervor geforderte Sicherheit leiste bzw. für den Fall dass die Be- schwerdeinstanz den Antrag der Beschwerdeführerin auf Sicherstellung der Parteientschädigung generell oder zur Zeit abweisen sollte, bis zur rechtskräf- tigen Erledigung des zur Zeit bei der Staatsanwaltschaft III des Kantons Zü- rich unter der Geschäftsnummer A-3/2015/10004278 pendenten Strafverfah- rens gegen den Kläger wegen Ungetreuer Geschäftsbesorgung, Betrug, Ver- untreuung etc. einzustellen.</w:t>
      </w:r>
    </w:p>
    <w:p>
      <w:r>
        <w:rPr>
          <w:b/>
        </w:rPr>
        <w:t>E. 3</w:t>
      </w:r>
    </w:p>
    <w:p>
      <w:r>
        <w:t>a) Die Beklagte rügt in ihrer Beschwerde primär eine Verletzung ih- res Anspruchs auf rechtliches Gehör. Sie macht geltend, die Vorinstanz habe ihr die Stellungnahme des Klägers vom 18. Dezember 2015 erst zusammen mit dem angefochtenen Entscheid zugestellt (Urk. 1 S. 7 f.). b) Der Kläger hält dem entgegen, prozessleitende Entscheide würden re- gelmässig nach nur einem Schriftenwechsel erlassen. Die Vorinstanz habe daher das rechtliche Gehör der Beklagten nicht verletzt, als sie den angefochtenen pro- zessleitenden Entscheid nach nur einem Schriftenwechsel erlassen habe. Seine Stellungnahme habe keinerlei Noven enthalten, welche kommentiert hätten wer- den müssen (Urk. 9 S. 3, S. 5 f.). c) Die Rüge der Beklagten ist begründet. Der Anspruch auf ein faires Ver- fahren (Art. 6 Ziff. 1 EMRK) und auf rechtliches Gehör (Art. 29 Abs. 2 BV, Art. 53 ZPO) gibt den Parteien das Recht, von sämtlichen dem Gericht eingereichten Ein- gaben Kenntnis zu erhalten und zu diesen gegebenenfalls Stellung nehmen zu</w:t>
      </w:r>
    </w:p>
    <w:p>
      <w:r>
        <w:t>- 5 - können. Dabei kommt es nicht darauf an, ob eine Eingabe schliesslich für den Entscheid relevant ist. Von einer Zustellung zwecks Ermöglichung der Stellung- nahme kann nur dann abgesehen werden, wenn die davon betroffene Partei (die so nicht Stellung nehmen kann) durch den Entscheid keinen Nachteil erleidet. Werden diese Grundsätze missachtet, leidet der Entscheid an einem Formfehler und ist aufzuheben, soweit der Mangel nicht im Rechtsmittelverfahren geheilt werden kann. Vorliegend ist durch den Mitteilungssatz des angefochtenen Beschlusses ausgewiesen, dass die Stellungnahme des Klägers vom 18. Dezember 2015 (Vi- Urk. 21) der Beklagten erst zusammen mit dem angefochtenen Beschluss zuge- stellt wurde (Urk. 2 Disp.-Ziff. 4). Dass hierbei regelmässig kein weiterer Schrif- tenwechsel erfolgt, bedeutet lediglich, dass der Beklagten keine Frist zu einer Stellungnahme anzusetzen war, entbindet jedoch nicht von einer Zustellung an die Beklagte vor einem sie beschwerenden Entscheid. Die fragliche Stellungnah- me des Klägers umfasste sodann gut drei Textseiten und enthielt diverse tatsäch- liche Behauptungen (vgl. Vi-Urk. 21). d) Die Verletzung des rechtlichen Gehörs kann sodann im vorliegenden Beschwerdeverfahren zufolge des für dieses geltenden Novenverbots (Art. 326 ZPO) nicht geheilt werden. Der angefochtene Beschluss muss daher aufgehoben und die Sache an die Vorinstanz zurückgewiesen werden (Art. 327 Abs. 3 lit. b ZPO). Diese wird der Beklagten Frist zur Stellungnahme anzusetzen und nach Eingang derselben (sowie gegebenenfalls Zustellung an den Kläger) neu zu ent- scheiden haben.</w:t>
      </w:r>
    </w:p>
    <w:p>
      <w:r>
        <w:rPr>
          <w:b/>
        </w:rPr>
        <w:t>E. 4</w:t>
      </w:r>
    </w:p>
    <w:p>
      <w:r>
        <w:t>a) Bei einer Rückweisung kann die Verteilung der Prozesskosten des Rechtsmittelverfahrens der Vorinstanz überlassen werden (Art. 104 Abs. 4 ZPO). Vorliegend ist jedoch noch nicht absehbar, wann das Verfahren abge- schlossen werden kann und der Kläger hat die kostenfällige Abweisung der Be- schwerde beantragt (Urk. 9 S. 2); er ist damit als im Beschwerdeverfahren unter- liegende Partei anzusehen. Die zweitinstanzliche Gerichtsgebühr ist auf Fr. 2'000.-- festzusetzen (§ 4 Abs. 1 und 2, § 9 Abs. 1 und § 12 Abs. 1 und 2 GebV OG) und ausgangsgemäss dem Kläger aufzuerlegen. Die Gerichtskosten</w:t>
      </w:r>
    </w:p>
    <w:p>
      <w:r>
        <w:t>- 6 - sind mit dem von der Beklagten geleisteten Kostenvorschuss zu verrechnen, der Beklagten jedoch vom Kläger zu ersetzen (Art. 111 Abs. 1 und 2 ZPO). b) Dementsprechend ist der Kläger zu verpflichten, der anwaltlich vertre- tenen Beklagten eine Parteientschädigung von Fr. 2'000.-- (§ 4 Abs. 1 und 2, § 9, § 11 Abs. 2 und § 13 Abs. 1 und 4 AnwGebV; Mehrwertsteuer inbegriffen) zu be- 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