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PS260104 vom 20. März 2026</w:t>
      </w:r>
    </w:p>
    <w:p>
      <w:r>
        <w:t>ZH Obergericht, 2026-03-20, DE</w:t>
      </w:r>
    </w:p>
    <w:p>
      <w:r>
        <w:rPr>
          <w:b/>
        </w:rPr>
        <w:t xml:space="preserve">Quelle: </w:t>
      </w:r>
      <w:r>
        <w:t>https://mcp.opencaselaw.ch/entscheid/zh_obergericht_PS260104</w:t>
      </w:r>
    </w:p>
    <w:p>
      <w:r>
        <w:t>FR: ZH_OBERGERICHT PS260104 du 20 mars 2026</w:t>
      </w:r>
    </w:p>
    <w:p>
      <w:r>
        <w:t>IT: ZH_OBERGERICHT PS260104 del 20 marzo 2026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 dieser Beschwerde die aufschiebende Wirkung zu erteilen;</w:t>
      </w:r>
    </w:p>
    <w:p>
      <w:r>
        <w:rPr>
          <w:b/>
        </w:rPr>
        <w:t>E. 3</w:t>
      </w:r>
    </w:p>
    <w:p>
      <w:r>
        <w:t>alles unter Kosten- und Entschädigungsfolgen zulasten der Be- schwerdegegnerin."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