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PS260089 vom 11. März 2026</w:t>
      </w:r>
    </w:p>
    <w:p>
      <w:r>
        <w:t>ZH Obergericht, 2026-03-11, DE</w:t>
      </w:r>
    </w:p>
    <w:p>
      <w:r>
        <w:rPr>
          <w:b/>
        </w:rPr>
        <w:t xml:space="preserve">Quelle: </w:t>
      </w:r>
      <w:r>
        <w:t>https://mcp.opencaselaw.ch/entscheid/zh_obergericht_PS260089</w:t>
      </w:r>
    </w:p>
    <w:p>
      <w:r>
        <w:t>FR: ZH_OBERGERICHT PS260089 du 11 mars 2026</w:t>
      </w:r>
    </w:p>
    <w:p>
      <w:r>
        <w:t>IT: ZH_OBERGERICHT PS260089 del 11 marzo 2026</w:t>
      </w:r>
    </w:p>
    <w:p>
      <w:pPr>
        <w:pStyle w:val="Heading2"/>
      </w:pPr>
      <w:r>
        <w:t>Erwägungen</w:t>
      </w:r>
    </w:p>
    <w:p>
      <w:r>
        <w:rPr>
          <w:b/>
        </w:rPr>
        <w:t>E. 1</w:t>
      </w:r>
    </w:p>
    <w:p>
      <w:r>
        <w:t>In Gutheissung der Beschwerde wird das angefochtene Urteil des Konkursgerichtes des Bezirksgerichtes Zürich vom 26. Februar 2026 aufge- hoben. Das Konkursbegehren wird abgewiesen.</w:t>
      </w:r>
    </w:p>
    <w:p>
      <w:r>
        <w:rPr>
          <w:b/>
        </w:rPr>
        <w:t>E. 2</w:t>
      </w:r>
    </w:p>
    <w:p>
      <w:r>
        <w:t>Die zweitinstanzliche Entscheidgebühr wird auf Fr. 750.– festgesetzt, der Schuldnerin auferlegt und mit dem von ihr geleisteten Kostenvorschuss ver- rechnet. Die vom Gläubiger bezogene erstinstanzliche Entscheidgebühr von Fr. 400.– wird bestätigt und der Schuldnerin auferlegt.</w:t>
      </w:r>
    </w:p>
    <w:p>
      <w:r>
        <w:rPr>
          <w:b/>
        </w:rPr>
        <w:t>E. 3</w:t>
      </w:r>
    </w:p>
    <w:p>
      <w:r>
        <w:t>Das Konkursamt Riesbach-Zürich wird angewiesen, von dem bei ihm einbe- zahlten Totalbetrag von Fr. 3'000.– (Fr. 1'600.– Zahlung der Schuldnerin so- wie Fr. 1'400.– Rest des vom Gläubiger dem Konkursgericht geleisteten Vor- schusses) dem Gläubiger Fr. 1'800.– und der Schuldnerin einen nach Abzug seiner Kosten allfällig verbleibenden Restbetrag auszuzahlen.</w:t>
      </w:r>
    </w:p>
    <w:p>
      <w:r>
        <w:rPr>
          <w:b/>
        </w:rPr>
        <w:t>E. 4</w:t>
      </w:r>
    </w:p>
    <w:p>
      <w:r>
        <w:t>Schriftliche Mitteilung an die Parteien, an den Gläubiger unter Beilage des Doppels der Beschwerdeschrift (act. 2), sowie an das Konkursgericht des Bezirksgerichtes Zürich (unter Rücksendung der erstinstanzlichen Akten) und das Konkursamt Riesbach-Zürich, ferner im Urteils-Dispositiv an das Handelsregisteramt des Kantons Zürich und an das Betreibungsamt Zü- rich 8, je gegen Empfangsschein.</w:t>
      </w:r>
    </w:p>
    <w:p>
      <w:r>
        <w:rPr>
          <w:b/>
        </w:rPr>
        <w:t>E. 5</w:t>
      </w:r>
    </w:p>
    <w:p>
      <w:r>
        <w:t>Dieser Entscheid erwächst in Rechtskraft, wenn nicht innert 10 Tagen ab der schriftlichen Zustellung von einer Partei schriftlich beim Obergericht des Kantons Zürich, II. Zivilkammer, Postfach, 8021 Zürich, eine Begründung verlangt wird (Art. 318 Abs. 2 ZPO i.V.m. Art. 239 ZPO). Wird eine Begrün-</w:t>
      </w:r>
    </w:p>
    <w:p>
      <w:r>
        <w:t>- 3 - dung verlangt, so läuft den Parteien die Frist zur Erklärung eines Rechtsmit- tels ab Zustellung des begründeten Entscheides. Wird keine Begründung verlangt, so gilt dies als Verzicht auf die Anfechtung des Entscheides mit Beschwerde an das Bundesgericht.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