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PS260080 vom 10. März 2026</w:t>
      </w:r>
    </w:p>
    <w:p>
      <w:r>
        <w:t>ZH Obergericht, 2026-03-10, DE</w:t>
      </w:r>
    </w:p>
    <w:p>
      <w:r>
        <w:rPr>
          <w:b/>
        </w:rPr>
        <w:t xml:space="preserve">Quelle: </w:t>
      </w:r>
      <w:r>
        <w:t>https://mcp.opencaselaw.ch/entscheid/zh_obergericht_PS260080</w:t>
      </w:r>
    </w:p>
    <w:p>
      <w:r>
        <w:t>FR: ZH_OBERGERICHT PS260080 du 10 mars 2026</w:t>
      </w:r>
    </w:p>
    <w:p>
      <w:r>
        <w:t>IT: ZH_OBERGERICHT PS260080 del 10 marzo 2026</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w:t>
      </w:r>
    </w:p>
    <w:p>
      <w:r>
        <w:t>- 3 - zung bzw. Begründung ist jedoch auf die Beschwerde ohne Weiteres nicht einzu- treten (ZR 110 Nr. 80; OGer ZH PS110192 vom 21. Februar 2012, Erw. 5.1; PS240173 vom 28. Oktober 2024 E. 2). Neue Anträge, neue Tatsachenbehaup- tungen und neue Beweismittel sind im Beschwerdeverfahren ausgeschlossen (Art. 326 ZPO). Das gilt auch im zweitinstanzlichen betreibungsrechtlichen Be- schwerdeverfahren (vgl. OGer ZH PS110019 vom 21. Februar 2011, E. 3.4; PS240181 vom 14. November 2024 E.II/1). 3.1. Der Beschwerdeführer beantragt den Ausstand von Gerichtsschreiberin B._____ (vgl. act. 2 S. 1). Er begründet diesen Antrag nicht. In seiner Beschwer- deschrift findet sich einzig der Satz: "Gerichtsschreiber sind keine Richter, dito für Gerichtsschreiberinnen" (act. 2 Ziff. 8). Dies stellt keine hinreichende Begründung eines Ausstandsbegehrens dar, weshalb darauf mangels Begründung nicht einzu- treten ist. Darüber hinaus wirkt Gerichtsschreiberin B._____, die das Urteil vom</w:t>
      </w:r>
    </w:p>
    <w:p>
      <w:r>
        <w:rPr>
          <w:b/>
        </w:rPr>
        <w:t>E. 5</w:t>
      </w:r>
    </w:p>
    <w:p>
      <w:r>
        <w:t>Das Verfahren vor der oberen kantonalen Aufsichtsbehörde in Schuldbetrei- bungs- und Konkurssachen ist kostenlos. Parteientschädigungen werden nicht zu- gesprochen (Art. 20a Abs. 2 Ziff. 5 SchKG; Art. 61 Abs. 2 lit. a und Art. 62 Abs. 2 GebV SchKG). Der Beschwerdeführer ist darauf hinzuweisen, dass im Falle wei- terer mangelhafter oder klar unberechtigter Eingaben mit der Auflage von Gebüh- ren und Auslagen zu rechnen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