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PS260076 vom 8. April 2026</w:t>
      </w:r>
    </w:p>
    <w:p>
      <w:r>
        <w:t>ZH Obergericht, 2026-04-08, DE</w:t>
      </w:r>
    </w:p>
    <w:p>
      <w:r>
        <w:rPr>
          <w:b/>
        </w:rPr>
        <w:t xml:space="preserve">Quelle: </w:t>
      </w:r>
      <w:r>
        <w:t>https://mcp.opencaselaw.ch/entscheid/zh_obergericht_PS260076</w:t>
      </w:r>
    </w:p>
    <w:p>
      <w:r>
        <w:t>FR: ZH_OBERGERICHT PS260076 du 8 avril 2026</w:t>
      </w:r>
    </w:p>
    <w:p>
      <w:r>
        <w:t>IT: ZH_OBERGERICHT PS260076 del 8 aprile 2026</w:t>
      </w:r>
    </w:p>
    <w:p>
      <w:pPr>
        <w:pStyle w:val="Heading2"/>
      </w:pPr>
      <w:r>
        <w:t>Erwägungen</w:t>
      </w:r>
    </w:p>
    <w:p>
      <w:r>
        <w:rPr>
          <w:b/>
        </w:rPr>
        <w:t>E. 25</w:t>
      </w:r>
    </w:p>
    <w:p>
      <w:r>
        <w:t>Februar 2026 (persönlich überbracht am 26. Februar 2026) rechtzeitig Be- schwerde bei der Kammer (zur Rechtzeitigkeit s. E. 2.2. nachstehend). Sie bean- tragte die Aufhebung des Konkurses und ersuchte sinngemäss um Bewilligung der Zahlung der Konkursforderung aus dem gesperrten Bankkonto (act. 2A [= act. 11], und act. 2B). Mit Verfügung vom 26. Februar 2026 wurde der Be- schwerde insoweit die aufschiebende Wirkung erteilt, als das Konkursamt ange- wiesen wurde, einen Betrag von Fr. 1'816.35 für die Hinterlegung der Konkursfor- derung samt Zinsen und Kosten sowie für die Sicherstellung der Kosten des Kon- kursamtes freizugeben. Zudem wurde die Schuldnerin darauf hingewiesen, dass sie die Beschwerde bis zum Ablauf der Beschwerdefrist im Sinne der Erwägun- gen ergänzen kann und es wurde ihr schliesslich Frist zur Leistung eines Vor- schusses für das Beschwerdeverfahren angesetzt (act. 9). Mit Verfügung vom 24. März 2026 wurde der Schuldnerin eine Nachfrist zur Leistung des Vorschus- ses angesetzt (act. 13). Der Kostenvorschuss wurde innert Nachfrist geleistet (act. 17). Mit Eingabe vom 27. März 2026 (Datum der persönlichen Übergabe) er- gänzte die Schuldnerin ihre Beschwerde (act. 15 f.). 1.4. Die Akten der Vorinstanz wurden beigezogen (act. 12/1-13). Das Verfah- ren ist spruchreif. 2.1. 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w:t>
      </w:r>
    </w:p>
    <w:p>
      <w:r>
        <w:t>- 3 - weise über konkurshindernde Tatsachen sind im Beschwerdeverfahren unbe- schränkt zugelassen, haben jedoch innert der zehntägigen Beschwerdefrist zu er- folgen. Darauf wurde die Schuldnerin in der Verfügung der Kammer vom 26. Fe- bruar 2026 hingewiesen (vgl. E. 4.3. und Dispositiv-Ziffer 2 in act. 9). 2.2.1. Die Sendung mit dem vorinstanzlichen Urteil vom 16. Februar 2026 wurde der Schuldnerin am 18. Februar 2026 zur Abholung gemeldet, jedoch nicht abge- holt (vgl. act. 12/13/1 i.V.m. act. 18). Die Schuldnerin musste jedoch mit einer Zu- stellung durch die Vorinstanz rechnen, da ihr am 4. Dezember 2025 die Vorla- dung zur vorinstanzlichen Konkursverhandlung zugestellt worden war und sie folglich vom Konkursverfahren wusste (vgl. act. 12/10-11). In Anwendung von Art. 138 Abs. 3 lit. a ZPO gilt das vorinstanzliche Urteil vom 16. Februar 2026 da- mit am siebten Tag nach dem erfolglosen Zustellungsversuch, mithin am 25. Fe- bruar 2026, als zugestellt. Die zehntägige Beschwerdefrist lief folglich am 9. März 2026 ab. 2.2.2. Die Beschwerdeeingaben vom 24. und 25. Februar 2026, die am 26. Fe- bruar 2026 überbracht wurden, erfolgten damit rechtzeitig. Die Ergänzung der Be- schwerde wurde jedoch erst am 27. März 2026 – und damit nach Ablauf der Be- schwerdefrist – bei der Kammer eingereicht. Folglich ist die Ergänzung samt Bei- lagen nicht zu berücksichtigen. 3.1. Wie bereits in der Verfügung der Kammer vom 26. Februar 2026 erwo- gen, wurde mit den Beschwerdeeingaben vom 24. und 25. Februar 2026 weder ein Konkursaufhebungsgrund noch die Sicherstellung der Kosten des erstinstanz- lichen Konkursgerichtes sowie des Konkursamtes nachgewiesen (vgl. act. 9 E. 4.1.1.). Auch fehlen in den Eingaben substantiierte Ausführungen zur Zah- lungsfähigkeit der Schuldnerin und es wurden auch keine Belege hierzu einge- reicht (vgl. act. 9 E. 4.2.). Auf die Eingabe vom 27. März 2026, worin die Schuld- nerin Ausführungen zu einem Konkurshinderungsgrund, zur Sicherstellung der Konkurskosten sowie zur Zahlungsfähigkeit macht und dazu Belege einreicht (vgl. act. 15 f.), kann wie dargelegt nicht eingegangen werden (vgl. E. 2.2.2. vorste- hend).</w:t>
      </w:r>
    </w:p>
    <w:p>
      <w:r>
        <w:t>- 4 - 3.2. Damit ist mangels Nachweises eines Konkurshinderungsgrunds und Glaubhaftmachens der Zahlungsfähigkeit die Beschwerde abzuweisen. 4. 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5. Ausgangsgemäss sind die Kosten des Beschwerdeverfahrens der Schuldnerin aufzuerlegen (Art. 106 Abs. 1 ZPO). Die zweitinstanzliche Entscheid- gebühr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