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PS260058 vom 2. März 2026</w:t>
      </w:r>
    </w:p>
    <w:p>
      <w:r>
        <w:t>ZH Obergericht, 2026-03-02, DE</w:t>
      </w:r>
    </w:p>
    <w:p>
      <w:r>
        <w:rPr>
          <w:b/>
        </w:rPr>
        <w:t xml:space="preserve">Quelle: </w:t>
      </w:r>
      <w:r>
        <w:t>https://mcp.opencaselaw.ch/entscheid/zh_obergericht_PS260058</w:t>
      </w:r>
    </w:p>
    <w:p>
      <w:r>
        <w:t>FR: ZH_OBERGERICHT PS260058 du 2 mars 2026</w:t>
      </w:r>
    </w:p>
    <w:p>
      <w:r>
        <w:t>IT: ZH_OBERGERICHT PS260058 del 2 marzo 2026</w:t>
      </w:r>
    </w:p>
    <w:p>
      <w:pPr>
        <w:pStyle w:val="Heading2"/>
      </w:pPr>
      <w:r>
        <w:t>Erwägungen</w:t>
      </w:r>
    </w:p>
    <w:p>
      <w:r>
        <w:rPr>
          <w:b/>
        </w:rPr>
        <w:t>E. 1</w:t>
      </w:r>
    </w:p>
    <w:p>
      <w:r>
        <w:t>Die Schuldnerin und Beschwerdeführerin (nachfolgend: Schuldnerin) ist seit dem tt.mm.2005 als AG im Handelsregister des Kantons Zürich eingetragen. Sie bezweckt allumfassende Treuhanddienstleistungen (act. 5).</w:t>
      </w:r>
    </w:p>
    <w:p>
      <w:r>
        <w:rPr>
          <w:b/>
        </w:rPr>
        <w:t>E. 2.1</w:t>
      </w:r>
    </w:p>
    <w:p>
      <w:r>
        <w:t>Mit Urteil vom 3. Februar 2026 eröffnete das Konkursgericht des Bezirksge- richts Zürich (nachfolgend: Vorinstanz) den Konkurs über die Schuldnerin und Be- schwerdeführerin (nachfolgend: Schuldnerin) für eine Forderung von Fr. 9'988.– nebst Zins von 1.5 % seit dem 16. April 2025, Kosten von Fr. 334.05 und Betrei- bungskosten von Fr. 263.60 (act. 3 = act. 9 Aktenexemplar = act. 10/8). Der Kon- kurseröffnungsentscheid wurde der Schuldnerin am 5. Februar 2026 zugestellt (act. 10/11).</w:t>
      </w:r>
    </w:p>
    <w:p>
      <w:r>
        <w:rPr>
          <w:b/>
        </w:rPr>
        <w:t>E. 2.2</w:t>
      </w:r>
    </w:p>
    <w:p>
      <w:r>
        <w:t>Mit Eingabe vom 12. Februar 2026 (Poststempel gleichentags) erhob die Schuldnerin gegen die Konkurseröffnung Beschwerde beim Obergericht des Kan- tons Zürich. Sie beantragt die Aufhebung des angefochtenen Urteils sowie die Er- teilung der aufschiebenden Wirkung (act. 2 S. 1).</w:t>
      </w:r>
    </w:p>
    <w:p>
      <w:r>
        <w:rPr>
          <w:b/>
        </w:rPr>
        <w:t>E. 2.3</w:t>
      </w:r>
    </w:p>
    <w:p>
      <w:r>
        <w:t>Mit Verfügung vom 13. Februar 2026 wurde der Beschwerde einstweilen die aufschiebende Wirkung verweigert (Dispositiv-Ziff. 1). Die Schuldnerin wurde darauf hingewiesen, dass sie ihre Beschwerde bis zum Ablauf der Beschwerde- frist ergänzen könne (Dispositiv-Ziff. 3) und ihr wurde Frist zur Leistung eines Kostenvorschusses angesetzt (Dispositiv-Ziff. 2, act. 7).</w:t>
      </w:r>
    </w:p>
    <w:p>
      <w:r>
        <w:rPr>
          <w:b/>
        </w:rPr>
        <w:t>E. 2.4</w:t>
      </w:r>
    </w:p>
    <w:p>
      <w:r>
        <w:t>Am 16. Februar 2026 reichte die Schuldnerin ihre Beschwerdeschrift inkl. Beilagen ein weiteres Mal ein (act. 11, 12/1–4). Sie beantragte erneut, der Be- schwerde sei die aufschiebende Wirkung zu erteilen (act. 11 S. 1), woraufhin der Beschwerde mit Verfügung vom 17. Februar 2026 erneut die aufschiebende Wir- kung einstweilen verweigert wurde (act. 13).</w:t>
      </w:r>
    </w:p>
    <w:p>
      <w:r>
        <w:rPr>
          <w:b/>
        </w:rPr>
        <w:t>E. 2.5</w:t>
      </w:r>
    </w:p>
    <w:p>
      <w:r>
        <w:t>Die Schuldnerin reichte am 25. Februar 2026 (Poststempel gleichentags) eine Beschwerdeergänzung inkl. Beilagen ein (act. 17, 18/1–5) und leistete den von ihr einverlangten Kostenvorschuss (act. 19).</w:t>
      </w:r>
    </w:p>
    <w:p>
      <w:r>
        <w:t>- 3 -</w:t>
      </w:r>
    </w:p>
    <w:p>
      <w:r>
        <w:rPr>
          <w:b/>
        </w:rPr>
        <w:t>E. 2.6</w:t>
      </w:r>
    </w:p>
    <w:p>
      <w:r>
        <w:t>Die Akten des vorinstanzlichen Verfahrens wurden beigezogen (act. 10/1– 10). Auf die Einholung einer Beschwerdeantwort kann verzichtet werden (Art. 322 Abs. 1 ZPO). Der Gläubigerin ist mit dem vorliegenden Entscheid eine Kopie der Beschwerdeschrift (act. 2) zuzustellen. Das Verfahren ist spruchreif.</w:t>
      </w:r>
    </w:p>
    <w:p>
      <w:r>
        <w:rPr>
          <w:b/>
        </w:rPr>
        <w:t>E. 3</w:t>
      </w:r>
    </w:p>
    <w:p>
      <w:r>
        <w:t>Ein erstinstanzlicher Entscheid über die Konkurseröffnung kann innert zehn Tagen nach Zustellung mit Beschwerde nach der ZPO angefochten werden (Art. 174 Abs. 1 SchKG). Nach Ablauf der Beschwerdefrist kann die Beschwerde- schrift nicht mehr ergänzt werden, worauf die Schuldnerin in der Verfügung vom 13. Februar 2026 hingewiesen wurde (act. 7 E. 3.1.). Fristen, die durch eine Mit- teilung ausgelöst werden, beginnen am folgenden Tag zu laufen. Vorliegend be- gann die zehntägige Rechtsmittelfrist mithin am 5. Februar 2026 (vgl. obenste- hend E. 2.1.) und endete in Anwendung von Art. 142 Abs. 3 ZPO am 16. Februar 2026. Sowohl die Einreichung der Beschwerdeschrift am 13. Februar 2026 als auch deren erneute Einreichung am 16. Februar 2026 erfolgten fristgerecht. Die Beschwerdeergänzung vom 25. Februar 2026 erfolgte indes nach Ablauf der Be- schwerdefrist und damit verspätet, weshalb sie unberücksichtigt bleibt.</w:t>
      </w:r>
    </w:p>
    <w:p>
      <w:r>
        <w:rPr>
          <w:b/>
        </w:rPr>
        <w:t>E. 4.1</w:t>
      </w:r>
    </w:p>
    <w:p>
      <w:r>
        <w:t>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Tilgung und Hinterlegung müssen "einschliesslich Zinsen und Kosten" vor Ablauf der Beschwerdefrist erfolgt sein (KUKO SchKG-DIGGELMANN/ENGLER, 3. Aufl. 2025, Art. 174 N 10; BGE 136 III 294 E. 3.2). Zu den "Kosten" gehören auch die von der Gläubigerin vorgeschos- senen Kosten des erstinstanzlichen Konkursgerichts und des Konkursamts (BGE 133 III 687 E. 2.3; BGer 5A_829/2014 vom 9. Februar 2015 E. 3.3; 5A_435/2013 vom 10. Juli 2013 E. 2.1; 5A_409/2013 vom 8. Juli 2013 E. 2). Folg- lich müssen auch diese Kosten von der Schuldnerin rechtzeitig sichergestellt wer-</w:t>
      </w:r>
    </w:p>
    <w:p>
      <w:r>
        <w:t>- 4 - den, damit der Konkursaufhebungsgrund der Tilgung resp. Hinterlegung gegeben ist.</w:t>
      </w:r>
    </w:p>
    <w:p>
      <w:r>
        <w:rPr>
          <w:b/>
        </w:rPr>
        <w:t>E. 4.2</w:t>
      </w:r>
    </w:p>
    <w:p>
      <w:r>
        <w:t>Die Schuldnerin reicht eine Abrechnung des Betreibungsamts Zürich 5 vom</w:t>
      </w:r>
    </w:p>
    <w:p>
      <w:r>
        <w:rPr>
          <w:b/>
        </w:rPr>
        <w:t>E. 4.3</w:t>
      </w:r>
    </w:p>
    <w:p>
      <w:r>
        <w:t>Da die Schuldnerin die Konkursforderung inkl. Kosten und Zinsen nach der Konkurseröffnung tilgte, hat sie ihre Zahlungsfähigkeit glaubhaft zu machen. Die Schuldnerin äussert sich in ihrer Beschwerdeschrift jedoch nicht zu ihrer Zah- lungsfähigkeit. Folglich sind die Voraussetzungen für die Aufhebung des Konkur- ses nicht erfüllt und die Beschwerde ist abzuweisen. 5. Es bleibt, die Schuldnerin auf Art. 195 SchKG hinzuweisen, wonach die Möglichkeit eines nachträglichen Widerrufs des Konkurses durch das Konkursge- richt besteht, wenn nachgewiesen wird, dass sämtliche Forderungen beglichen sind oder von jedem Gläubiger eine schriftliche Erklärung über den Rückzug sei- ner Konkurseingabe vorliegt oder ein Nachlassvertrag zustande gekommen ist (dazu insbesondere KUKO SchKG-DIGGELMANN/ENGLER, 3. Aufl. 2025, Art. 195, N 3, 3a, 5).</w:t>
      </w:r>
    </w:p>
    <w:p>
      <w:r>
        <w:t>- 5 -</w:t>
      </w:r>
    </w:p>
    <w:p>
      <w:r>
        <w:rPr>
          <w:b/>
        </w:rPr>
        <w:t>E. 6</w:t>
      </w:r>
    </w:p>
    <w:p>
      <w:r>
        <w:t>Ausgangsgemäss sind die Kosten des Beschwerdeverfahrens der Schuldne- rin aufzuerlegen (Art. 106 Abs. 1 ZPO). Die Entscheidgebühr ist auf Fr. 750.– fest- zusetzen (Art. 61 Abs. 1 GebV SchKG) und aus dem geleisteten Vorschuss zu beziehen. Eine Parteientschädigung für das Beschwerdeverfahren ist nicht zuzu- sprechen; der Schuldnerin nicht aufgrund ihres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