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PS260023 vom 5. Februar 2026</w:t>
      </w:r>
    </w:p>
    <w:p>
      <w:r>
        <w:t>ZH Obergericht, 2026-02-05, DE</w:t>
      </w:r>
    </w:p>
    <w:p>
      <w:r>
        <w:rPr>
          <w:b/>
        </w:rPr>
        <w:t xml:space="preserve">Quelle: </w:t>
      </w:r>
      <w:r>
        <w:t>https://mcp.opencaselaw.ch/entscheid/zh_obergericht_PS260023</w:t>
      </w:r>
    </w:p>
    <w:p>
      <w:r>
        <w:t>FR: ZH_OBERGERICHT PS260023 du 5 février 2026</w:t>
      </w:r>
    </w:p>
    <w:p>
      <w:r>
        <w:t>IT: ZH_OBERGERICHT PS260023 del 5 febbraio 2026</w:t>
      </w:r>
    </w:p>
    <w:p>
      <w:pPr>
        <w:pStyle w:val="Heading2"/>
      </w:pPr>
      <w:r>
        <w:t>Erwägungen</w:t>
      </w:r>
    </w:p>
    <w:p>
      <w:r>
        <w:rPr>
          <w:b/>
        </w:rPr>
        <w:t>E. 1</w:t>
      </w:r>
    </w:p>
    <w:p>
      <w:r>
        <w:t>Mit Urteil vom 7. Januar 2026 wies das Einzelgericht Audienz am Bezirksge- richt Zürich das Arrestbegehren des Beschwerdeführers gegen den Beschwerde- gegner (Verarrestierung von dessen Vermögenswerten sowie weiteren Vermö- gensgegenständen bei der C._____ AG [Bank] bis zur Arrestforderung von Fr. 274'525.50)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t>- 3 -</w:t>
      </w:r>
    </w:p>
    <w:p>
      <w:r>
        <w:rPr>
          <w:b/>
        </w:rPr>
        <w:t>E. 3</w:t>
      </w:r>
    </w:p>
    <w:p>
      <w:r>
        <w:t>Gemäss Art. 106 ZPO werden die Prozesskosten der unterliegenden Partei auferlegt. Das Gericht kann vom Verteilungsgrundsatz nach Art. 106 ZPO aus- nahmsweise in begründeten Fällen abweichen und die Prozesskosten nach Er- messen verteilen (Art. 107 Abs. 1 ZPO), etwa wenn das Verfahren als gegen-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150.00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