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PS260016 vom 5. Februar 2026</w:t>
      </w:r>
    </w:p>
    <w:p>
      <w:r>
        <w:t>ZH Obergericht, 2026-02-05, DE</w:t>
      </w:r>
    </w:p>
    <w:p>
      <w:r>
        <w:rPr>
          <w:b/>
        </w:rPr>
        <w:t xml:space="preserve">Quelle: </w:t>
      </w:r>
      <w:r>
        <w:t>https://mcp.opencaselaw.ch/entscheid/zh_obergericht_PS260016</w:t>
      </w:r>
    </w:p>
    <w:p>
      <w:r>
        <w:t>FR: ZH_OBERGERICHT PS260016 du 5 février 2026</w:t>
      </w:r>
    </w:p>
    <w:p>
      <w:r>
        <w:t>IT: ZH_OBERGERICHT PS260016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Vermögenswertes sowie weiteren Vermö-</w:t>
      </w:r>
    </w:p>
    <w:p>
      <w:r>
        <w:t>- 2 - gensgegenständen bei der C._____AG [Bank] bis zur Arrestforderung von Fr. 1'392'450.–)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w:t>
      </w:r>
    </w:p>
    <w:p>
      <w:r>
        <w:t>- 3 -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500.–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