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PS250430 vom 12. Januar 2026</w:t>
      </w:r>
    </w:p>
    <w:p>
      <w:r>
        <w:t>ZH Obergericht, 2026-01-12, DE</w:t>
      </w:r>
    </w:p>
    <w:p>
      <w:r>
        <w:rPr>
          <w:b/>
        </w:rPr>
        <w:t xml:space="preserve">Quelle: </w:t>
      </w:r>
      <w:r>
        <w:t>https://mcp.opencaselaw.ch/entscheid/zh_obergericht_PS250430</w:t>
      </w:r>
    </w:p>
    <w:p>
      <w:r>
        <w:t>FR: ZH_OBERGERICHT PS250430 du 12 janvier 2026</w:t>
      </w:r>
    </w:p>
    <w:p>
      <w:r>
        <w:t>IT: ZH_OBERGERICHT PS250430 del 12 gennaio 2026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Der Beschwerdeführer wird in der Betreibung Nr. 2 des Betreibungsamts Zü- rich 2 von der Beschwerdegegnerin für Gerichtskosten und Ordnungsbussen über Fr. 2'000.– (zzgl. Zinsen und Kosten) betrieben (act. 6/6/4). Am 7. Mai 2025 wurde die Pfändung vollzogen (act. 6/6/8). Da beim Beschwerdeführer weder pfändbares Vermögen noch künftiges Einkommen gepfändet werden konnte (vgl. act. 6/6/8), bildet die Pfändungsurkunde vom 8. Mai 2025 den Verlustschein im Sinne von Art. 149 SchKG (Verlustschein Nr. 1, act. 6/2/1).</w:t>
      </w:r>
    </w:p>
    <w:p>
      <w:r>
        <w:rPr>
          <w:b/>
        </w:rPr>
        <w:t>E. 1.2</w:t>
      </w:r>
    </w:p>
    <w:p>
      <w:r>
        <w:t>Den Verlustschein Nr. 1 vom 8. Mai 2025 focht der Beschwerdeführer mit Beschwerde vom 14. Mai 2025 beim Bezirksgericht Zürich als untere kanto- nale Aufsichtsbehörde über die Betreibungsämter (nachfolgend: Vorinstanz) an (act. 6/1). Die Vorinstanz forderte mit Zirkulationsbeschluss vom 19. Mai 2025 das Betreibungsamt zur Vernehmlassung auf, lud die Beschwerdegegnerin zur Beant- wortung der Beschwerde ein und wies das Sistierungsgesuch sowie das Gesuch um Anordnung der aufschiebenden Wirkung ab (act. 6/3). Die Vernehmlassung des Betreibungsamts datierte vom 21. Mai 2025 (act. 6/5). Die Gesuchsgegnerin liess sich nicht vernehmen. Die Parteien machten von ihrem mit Verfügung vom 22. Mai 2025 gewährten rechtlichen Gehör keinen Gebrauch (act. 6/7 f.). Mit Zirkulationsbeschluss vom 9. Dezember 2025 wies die Vorinstanz die Be- schwerde ab, soweit sie darauf eintrat (Dispositiv-Ziff. 1), erhob keine Kosten (Dispositiv-Ziff. 2) und sprach keine Parteientschädigungen zu (Dispositiv-Ziff. 3, act. 3 = act. 5 [Aktenexemplar] = act. 6/10).</w:t>
      </w:r>
    </w:p>
    <w:p>
      <w:r>
        <w:rPr>
          <w:b/>
        </w:rPr>
        <w:t>E. 1.3</w:t>
      </w:r>
    </w:p>
    <w:p>
      <w:r>
        <w:t>Gegen den Zirkulationsbeschluss vom 9. Dezember 2025 erhob der Be- schwerdeführer mit Eingabe vom 17. Dezember 2025 (Poststempel gleichentags) fristgerecht (vgl. act. 6/11/3) Beschwerde bei der hiesigen Kammer als obere kan- tonale Aufsichtsbehörde in Schuldbetreibungs- und Konkurssachen. Er stellte fol- gende Anträge (act. 1 S. 2):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