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PS250376 vom 19. November 2025</w:t>
      </w:r>
    </w:p>
    <w:p>
      <w:r>
        <w:t>ZH Obergericht, 2025-11-19, DE</w:t>
      </w:r>
    </w:p>
    <w:p>
      <w:r>
        <w:rPr>
          <w:b/>
        </w:rPr>
        <w:t xml:space="preserve">Quelle: </w:t>
      </w:r>
      <w:r>
        <w:t>https://mcp.opencaselaw.ch/entscheid/zh_obergericht_PS250376</w:t>
      </w:r>
    </w:p>
    <w:p>
      <w:r>
        <w:t>FR: ZH_OBERGERICHT PS250376 du 19 novembre 2025</w:t>
      </w:r>
    </w:p>
    <w:p>
      <w:r>
        <w:t>IT: ZH_OBERGERICHT PS250376 del 19 novembre 2025</w:t>
      </w:r>
    </w:p>
    <w:p>
      <w:pPr>
        <w:pStyle w:val="Heading2"/>
      </w:pPr>
      <w:r>
        <w:t>Erwägungen</w:t>
      </w:r>
    </w:p>
    <w:p>
      <w:r>
        <w:rPr>
          <w:b/>
        </w:rPr>
        <w:t>E. 11</w:t>
      </w:r>
    </w:p>
    <w:p>
      <w:r>
        <w:t>November 2025 wurde der Beschwerde die aufschiebende Wirkung einstwei- len verweigert und die Schuldnerin darauf hingewiesen, dass sie die Beschwerde innert der Beschwerdefrist ergänzen und weitere Unterlagen einreichen könne (act. 6). Innert Frist (vgl. act. 9/7/4) reichte die Schuldnerin eine weitere Eingabe samt Beilage ein (act. 11; act. 12). 2. 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von der Gläubigerin vorgeschossenen Kosten des erstin- stanzlichen Konkursgerichtes und des Konkursamtes (BGer 5A_829/2014 vom 9. Februar 2015 E. 3.3; BGer 5A_435/2013 vom 10. Juli 2013 E. 2.1; BGer 5A_409/2013 vom 8. Juli 2013 E. 2; BGE 133 III 687 E. 2.3). Die Beschwerde ist innert der Beschwerdefrist abschliessend zu begründen. Neue Behauptungen und Urkundenbeweise über konkurshindernde Tatsachen sind innert der Rechtsmittel- frist selbst dann zulässig, wenn sie nach dem erstinstanzlichen Entscheid einge- treten sind. Nachfristen können hingegen keine gewährt werden (BGE 139 III 491).</w:t>
      </w:r>
    </w:p>
    <w:p>
      <w:r>
        <w:t>- 3 - 3.1. Die Schuldnerin weist mittels Bestätigung des Betreibungsamtes vom</w:t>
      </w:r>
    </w:p>
    <w:p>
      <w:r>
        <w:rPr>
          <w:b/>
        </w:rPr>
        <w:t>E. 12</w:t>
      </w:r>
    </w:p>
    <w:p>
      <w:r>
        <w:t>November 2025 nach, die Konkursforderung vollständig getilgt zu haben (act. 12). Ferner hat die Schuldnerin beim Konkursamt die Kosten des Konkursge- richts und des Konkursverfahrens bis zu einer allfälligen Konkursaufhebung mit einer Zahlung von Fr. 650.– sichergestellt (act. 4/3). Der Konkurshinderungsgrund der Tilgung ist damit nachgewiesen. 3.2. Es bleibt zu prüfen, ob die Zahlungsfähigkeit der Schuldnerin glaubhaft ist. Zahlungsfähigkeit bedeutet, dass ausreichende liquide Mittel vorhanden sind, mit welchen die Gläubiger bei Fälligkeit ihrer Forderungen befriedigt werden können. Die Schuldnerin hat aufzuzeigen, dass sie in der Lage ist, ihren laufenden Ver- pflichtungen nachzukommen und in absehbarer Zeit auch die bestehenden Schul- den abzutragen. Bloss vorübergehende Zahlungsschwierigkeiten lassen die Schuldnerin noch nicht als zahlungsunfähig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er- hält, diese seien zutreffend, ohne das Gegenteil ausschliessen zu müssen (BGE 132 III 715 E. 3.1.; BGE 132 III 140 E. 4.1.2; BGer 5A_297/2012 vom 10. Juli 2012 E. 2.3). Nach der Praxis der Kammer genügt es zur Annahme der Zahlungsfähigkeit, wenn glaubhaft gemacht ist, dass die Schuldnerin die aktuell dringendsten Verpflichtungen bedienen kann und innert längstens zwei Jahren neben den laufenden Verbindlichkeiten auch die schon bestehenden Schulden wird abtragen können (vgl. OGer ZH PS140068 vom 29. April 2014). Bei einem ersten Konkurs ist der Massstab zudem milder, als wenn die Schuldnerin innert vergleichsweise kurzer Zeit ein zweites Mal in Konkurs fällt (vgl. OGer ZH PS180162 vom 17. September 2018 E. 2.3.). 3.3.1. Die Schuldnerin ist seit mm.2021 im Handelsregister eingetragen. Der Gesellschaftszweck der Schuldnerin ist der Kauf und Verkauf von Grundstücken und Immobilien (act. 7). Die Schuldnerin macht geltend, die Gesellschaft sei nicht</w:t>
      </w:r>
    </w:p>
    <w:p>
      <w:r>
        <w:t>- 4 - überschuldet. Bei der Konkursforderung handle es sich um eine Busse der B._____, weil eine Lohndeklaration nicht eingereicht worden sei. Da die Gesell- schaft seit der Gründung im Jahr 2021 kein Personal beschäftige, sei die Lohn- summe anfänglich mit Fr. 0.– deklariert worden. Aufgrund eines Irrtums sei ange- nommen worden, das Formular müsse nicht jedes Jahr eingereicht werden (act. 2). 3.3.2. Wesentlichen Aufschluss über die finanzielle Lage einer Schuldnerin gibt insbesondere ein Auszug aus dem Betreibungsregister. Vorliegend weist der eingereichte Betreibungsregisterauszug lediglich drei Einträge auf. Lässt man die nun getilgte Konkursforderung ausser Acht, ist davon nur noch eine Betreibung im Umfang von Fr. 3'173.46 offen. Diese befindet sich im Stadium des Rechtsvor- schlags. Verlustscheine und frühere Konkurseröffnungen sind keine registriert (act. 4/6). 3.3.3. Zur offenen Betreibung führt die Schuldnerin aus, es handle sich um ei- nen Streitfall wegen Lieferverzugs. Die Gläubigerin habe die bestellte Ware viel zu spät geliefert, dadurch seien sehr hohe Zusatzkosten entstanden. Sie sei in Gesprächen mit der Gläubigerin und hoffe, eine Lösung zu finden (act. 2). Die of- fene Betreibung wird damit bestritten. Die Schuldnerin hat entsprechend Rechts- vorschlag erhoben. Ihre Ausführungen erscheinen insbesondere vor dem Hinter- grund des nahezu makellosen Betreibungsregisterauszugs glaubhaft. Entspre- chend ist für die Beurteilung der Zahlungsfähigkeit davon auszugehen, dass die einzige noch offene Betreibungsforderung nicht bzw. nicht in dieser Höhe besteht. 3.3.4. Zur finanziellen Lage des Unternehmens führt die Schuldnerin aus, sie habe Anfang Jahr Bauland erworben und stehe kurz vor dem Baustart eines Mehrfamilienhauses in C._____. Das zeige klar, dass sie über eine gesunde Bi- lanzstruktur verfüge, ansonsten ihr keine Bank einen Kredit zugesprochen und ein Projekt über 7.3 Millionen finanziert hätte (act. 2). Diesbezüglich reicht die Schuld- nerin einen Grundbuchauszug ein, aus dem ein Grundstückskauf hervorgeht (act. 4/7). Dies zeugt von einer anhaltenden Geschäftstätigkeit der Schuldnerin. Die Schuldnerin reicht sodann die Erfolgsrechnung des Jahres 2024 ein. Daraus geht hervor, dass ein Gewinn von Fr. 3'963.75 erwirtschaftet werden konnte.</w:t>
      </w:r>
    </w:p>
    <w:p>
      <w:r>
        <w:t>- 5 - Auch im Vorjahr resultierte ein Gewinn von Fr. 11'147.60 (act. 4/8B S. 2). Es scheint sich somit um ein rentables Unternehmen zu handeln. Dem eingereichten Kontoauszug ist ferner ein Saldo von Fr. 15'896.11 per 4. November 2025 zu ent- nehmen (act. 4/9). Damit wären auch genügend liquide Mittel zur Tilgung der noch offenen, aber glaubhaft bestrittenen Betreibungsforderung vorhanden. Vor diesem Hintergrund erscheint glaubhaft, dass die Konkurseröffnung aufgrund ad- ministrativer Versäumnisse erfolgte und nicht auf eine ständige Illiquidität der Schuldnerin zurückzuführen ist. Die Zahlungsfähigkeit ist aufgrund der eingereich- ten Unterlagen hinreichend glaubhaft im Sinne von Art. 174 Abs. 2 SchKG. 3.4. Nach dem Gesagten sind die Voraussetzungen für die Aufhebung des Kon- kurses erfüllt. Die Beschwerde ist gutzuheissen und das angefochtene Urteil auf- zuheben. 4. Obschon die Beschwerde gutgeheissen wird, sind die Gerichtsgebühren bei- der Instanzen der Schuldnerin aufzuerlegen, weil sie das Verfahren durch ihr Zah- lungssäumnis verursacht hat. Die Kosten für das Beschwerdeverfahren sind auf Fr. 750.– festzusetzen (vgl. Art. 61 Abs. 1 i.V.m. Art. 52 lit. b GebV SchKG) und mit dem geleisteten Vorschuss zu verrechnen. Eine Parteientschädigung ist der Schuldnerin nicht zuzusprechen. Im Übrigen ist auch der Gläubigerin mangels Umtriebe im vorliegenden 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