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PS250354 vom 27. Oktober 2025</w:t>
      </w:r>
    </w:p>
    <w:p>
      <w:r>
        <w:t>ZH Obergericht, 2025-10-27, DE</w:t>
      </w:r>
    </w:p>
    <w:p>
      <w:r>
        <w:rPr>
          <w:b/>
        </w:rPr>
        <w:t xml:space="preserve">Quelle: </w:t>
      </w:r>
      <w:r>
        <w:t>https://mcp.opencaselaw.ch/entscheid/zh_obergericht_PS250354</w:t>
      </w:r>
    </w:p>
    <w:p>
      <w:r>
        <w:t>FR: ZH_OBERGERICHT PS250354 du 27 octobre 2025</w:t>
      </w:r>
    </w:p>
    <w:p>
      <w:r>
        <w:t>IT: ZH_OBERGERICHT PS250354 del 27 ottobre 2025</w:t>
      </w:r>
    </w:p>
    <w:p>
      <w:pPr>
        <w:pStyle w:val="Heading2"/>
      </w:pPr>
      <w:r>
        <w:t>Erwägungen</w:t>
      </w:r>
    </w:p>
    <w:p>
      <w:r>
        <w:rPr>
          <w:b/>
        </w:rPr>
        <w:t>E. 3</w:t>
      </w:r>
    </w:p>
    <w:p>
      <w:r>
        <w:t>Die Schuldnerin hat es versäumt, die erfolgte Tilgung rechtzeitig vor dem Er- lass des angefochtenen Urteils dem Konkursgericht mitzuteilen. Da die Zahlung erfolgte, nachdem der Schuldnerin die Vorladung zur Verhandlung über das Kon- kursbegehren zugestellt worden war (act. 10/3), durfte sie sich nicht darauf verlas- sen, dass eine Teilnahme an der Verhandlung über das Konkursbegehren oder eine Mitteilung an das Konkursgericht nicht mehr erforderlich wären. Dies insbe- sondere mit Blick auf Art. 172 Ziff. 3 SchKG, wonach das Konkursbegehren abzu- weisen ist, wenn der Schuldner durch Urkunden beweist, dass die Schuld, Zinsen</w:t>
      </w:r>
    </w:p>
    <w:p>
      <w:r>
        <w:t>- 4 - und Kosten inbegriffen, getilgt ist. Indem die Schuldnerin vor Vorinstanz nicht rechtzeitig den Nachweis für die erfolgte Zahlung erbrachte, hat sie sowohl die erstinstanzliche Konkurseröffnung als auch das Beschwerdeverfahren verursacht. Entsprechend hat sie die Kosten des Beschwerdeverfahrens, die Kosten des erst- instanzlichen Konkursgerichtes und die Kosten des Konkursamtes zu tragen.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