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PS250294 vom 21. Oktober 2025</w:t>
      </w:r>
    </w:p>
    <w:p>
      <w:r>
        <w:t>ZH Obergericht, 2025-10-21, DE</w:t>
      </w:r>
    </w:p>
    <w:p>
      <w:r>
        <w:rPr>
          <w:b/>
        </w:rPr>
        <w:t xml:space="preserve">Quelle: </w:t>
      </w:r>
      <w:r>
        <w:t>https://mcp.opencaselaw.ch/entscheid/zh_obergericht_PS250294</w:t>
      </w:r>
    </w:p>
    <w:p>
      <w:r>
        <w:t>FR: ZH_OBERGERICHT PS250294 du 21 octobre 2025</w:t>
      </w:r>
    </w:p>
    <w:p>
      <w:r>
        <w:t>IT: ZH_OBERGERICHT PS250294 del 21 ottobre 2025</w:t>
      </w:r>
    </w:p>
    <w:p>
      <w:pPr>
        <w:pStyle w:val="Heading2"/>
      </w:pPr>
      <w:r>
        <w:t>Erwägungen</w:t>
      </w:r>
    </w:p>
    <w:p>
      <w:r>
        <w:rPr>
          <w:b/>
        </w:rPr>
        <w:t>E. 1.1</w:t>
      </w:r>
    </w:p>
    <w:p>
      <w:r>
        <w:t>Der Schuldner und Beschwerdeführer (fortan Schuldner) ist seit dem tt.mm.2017 mit dem Einzelunternehmen "B._____" im Handelsregister des Kan- tons Zürich eingetragen. Gemäss dem Handelsregistereintrag bezweckt die Ein- zelfirma den … und die Erbringung von …dienstleistungen (act. 5).</w:t>
      </w:r>
    </w:p>
    <w:p>
      <w:r>
        <w:rPr>
          <w:b/>
        </w:rPr>
        <w:t>E. 1.2</w:t>
      </w:r>
    </w:p>
    <w:p>
      <w:r>
        <w:t>Mit Urteil vom 10. September 2025, 8.00 Uhr, eröffnete das Konkursgericht des Bezirksgerichts Pfäffikon (fortan Vorinstanz) den Konkurs über den Schuldner für eine Forderung der Gläubigerin und Beschwerdegegnerin (fortan Gläubigerin) von Fr. 194.05 (inkl. Zins und Spesen) aus der Betreibung-Nr. … (act. 11/7 = act. 3 = act. 10).</w:t>
      </w:r>
    </w:p>
    <w:p>
      <w:r>
        <w:rPr>
          <w:b/>
        </w:rPr>
        <w:t>E. 2</w:t>
      </w:r>
    </w:p>
    <w:p>
      <w:r>
        <w:t>Gegen die Konkurseröffnung kann beim Obergericht innert 10 Tagen Beschwerde erhoben werden (Art. 174 Abs. 1 SchKG und Art. 321 Abs. 1 ZPO). Darauf hat die Vorinstanz richtig hingewiesen (act. 10 S. 3, Dispositiv-Ziffer 6). Das vorinstanzli- che Urteil wurde dem Schuldner am 15. September 2025 zugestellt (act. 11/8/2). Damit lief die zehntägige Rechtsmittelfrist bis am 25. September 2025 (Art. 142 Abs. 1 ZPO). Mit Eingabe vom 19. September 2025 (Datum Poststempel; Datum Eingang: 22. September 2025) erhob der Schuldner rechtzeitig Beschwerde gegen das vor- instanzliche Urteil. Er beantragt sinngemäss die Aufhebung des Konkurses (act. 2). Mit Verfügung vom 22. September 2025 wurde dem Schuldner eine Frist von 5 Tagen angesetzt, um die Beschwerdeschrift rechtsgültig unterzeichnet er- neut einzureichen. Der Beschwerde wurde einstweilen keine aufschiebende Wir- kung zuerkannt und der Schuldner wurde darauf hingewiesen, dass er seine Be- schwerde bis zum Ablauf der Rechtsmittelfrist ergänzen könne. Zudem wurde ihm eine Frist zur Leistung eines Kostenvorschusses für das Beschwerdeverfahren angesetzt (act. 6). Der Schuldner reichte die Beschwerdeschrift am 26. Septem- ber 2025 (überbracht) mit handschriftlicher Unterschrift versehen erneut ein (act. 8). Weitere Eingaben erfolgten nicht. Die vorinstanzlichen Akten wurden bei-</w:t>
      </w:r>
    </w:p>
    <w:p>
      <w:r>
        <w:t>- 3 - gezogen (act. 11/1-11). In der Folge setzte die Kammer dem Schuldner mit Verfü- gung vom 8. Oktober 2025 eine Nachfrist zur Leistung des Kostenvorschusses (act. 12). Der Vorschuss von Fr. 750.00 ging innert laufender Nachfrist ein (act. 13/1 und act. 14). Die Sache erweist sich als spruchreif.</w:t>
      </w:r>
    </w:p>
    <w:p>
      <w:r>
        <w:rPr>
          <w:b/>
        </w:rPr>
        <w:t>E. 3.1</w:t>
      </w:r>
    </w:p>
    <w:p>
      <w:r>
        <w:t>Gemäss Art. 174 Abs. 2 SchKG kann die Konkurseröffnung aufgehoben werden, wenn der Schuldner seine Zahlungsfähigkeit glaubhaft macht und durch Urkunden beweist, dass die Schuld einschliesslich der Zinsen und Kosten getilgt ist, der geschuldete Betrag bei der Rechtsmittelinstanz zuhanden der Gläubigerin hinterlegt ist oder die Gläubigerin auf die Durchführung des Konkurses verzichtet. Die Tilgung muss einschliesslich Zinsen und Kosten erfolgt sein, und zuzüglich der Kosten des Konkursgerichts und der Kosten des Konkursamtes, welche die Gläubigerin vorschiessen musste. Denn im Falle der Aufhebung des Konkurses muss die Gläubigerin vollständig befriedigt sein und insbesondere den dem Kon- kursgericht bezahlten Vorschuss ungeschmälert zurück erhalten (vgl. Art. 169 SchKG; KUKO SchKG-Diggelmann/Engler, 3. Aufl. 2025, Art. 174 N 7 und 10). Die Beschwerde ist innert der Rechtsmittelfrist abschliessend zu begründen. Nachfristen, sind keine zu gewähren (BGE 136 III 294).</w:t>
      </w:r>
    </w:p>
    <w:p>
      <w:r>
        <w:rPr>
          <w:b/>
        </w:rPr>
        <w:t>E. 3.2</w:t>
      </w:r>
    </w:p>
    <w:p>
      <w:r>
        <w:t>Der Schuldner reichte eine Abrechnung des Betreibungsamtes Illnau-Effreti- kon ein, wonach er mit Valuta-Datum vom 11. September 2025 die der Konkurs- eröffnung zugrundeliegende Forderung bezahlt hat. Das Betreibungsamt beschei- nigt, den Endbetrag in der Betreibung-Nr. … erhalten zu haben (act. 4 = act. 9 [Kopie]). Trotz Hinweisen der Kammer in der Verfügung vom 22. September 2025 (act. 6 S. 3 f.) hat der Schuldner jedoch nicht belegt, dass er auch die Kosten des konkursgerichtlichen Verfahrens und jene des Konkursamtes innerhalb der Be- schwerdefrist sichergestellt hat. Ebenfalls hat der Schuldner innert der bis am 25. September 2025 laufenden Rechtsmittelfrist keinerlei Ausführungen zu seiner Zahlungsfähigkeit gemacht. Die vollständige Tilgung im Sinne von Art. 174 Abs. 2 Ziff. 1 SchKG ist damit nicht belegt und die Zahlungsfähigkeit ist nicht glaubhaft gemacht. Folglich sind die</w:t>
      </w:r>
    </w:p>
    <w:p>
      <w:r>
        <w:t>- 4 - Voraussetzungen für die Aufhebung des Konkurses nicht erfüllt. Die Beschwerde ist abzuweisen.</w:t>
      </w:r>
    </w:p>
    <w:p>
      <w:r>
        <w:rPr>
          <w:b/>
        </w:rPr>
        <w:t>E. 3.3</w:t>
      </w:r>
    </w:p>
    <w:p>
      <w:r>
        <w:t>Der Vollständigkeit halber ist der Schuldner auf Art. 195 SchKG hinzuwei- sen, wonach (frühestens nach Ende der Eingabefrist, vgl. KUKO SchKG-Diggel- mann/Engler, a.a.O., Art. 195 N 3) die Möglichkeit eines nachträglichen Widerrufs des Konkurses durch das Konkursgericht besteht, wenn nachgewiesen wird, dass sämtliche Forderungen (also auch die, für welche noch keine Betreibung eingelei- tet wurde) beglichen sind oder von jedem Gläubiger eine schriftliche Erklärung über den Rückzug seiner Konkurseingabe vorliegt oder ein Nachlassvertrag zu- stande gekommen ist.</w:t>
      </w:r>
    </w:p>
    <w:p>
      <w:r>
        <w:rPr>
          <w:b/>
        </w:rPr>
        <w:t>E. 4</w:t>
      </w:r>
    </w:p>
    <w:p>
      <w:r>
        <w:t>Ausgangsgemäss sind die Gerichtskosten dem Schuldner aufzuerlegen (Art. 106 Abs. 1 ZPO). Die Kosten des Beschwerdeverfahrens sind mit dem vom Schuldner geleisteten Kostenvorschuss zu verrechnen (Art. 111 Abs. 1 ZPO). Parteientschä- digungen sind nicht zuzusprechen; dem Schuldner nicht wegen Unterliegens, der Gläubigerin nicht mangels zu entschädigenden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