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PS250281 vom 1. Oktober 2025</w:t>
      </w:r>
    </w:p>
    <w:p>
      <w:r>
        <w:t>ZH Obergericht, 2025-10-01, DE</w:t>
      </w:r>
    </w:p>
    <w:p>
      <w:r>
        <w:rPr>
          <w:b/>
        </w:rPr>
        <w:t xml:space="preserve">Quelle: </w:t>
      </w:r>
      <w:r>
        <w:t>https://mcp.opencaselaw.ch/entscheid/zh_obergericht_PS250281</w:t>
      </w:r>
    </w:p>
    <w:p>
      <w:r>
        <w:t>FR: ZH_OBERGERICHT PS250281 du 1 octobre 2025</w:t>
      </w:r>
    </w:p>
    <w:p>
      <w:r>
        <w:t>IT: ZH_OBERGERICHT PS250281 del 1 ottobre 2025</w:t>
      </w:r>
    </w:p>
    <w:p>
      <w:pPr>
        <w:pStyle w:val="Heading2"/>
      </w:pPr>
      <w:r>
        <w:t>Erwägungen</w:t>
      </w:r>
    </w:p>
    <w:p>
      <w:r>
        <w:rPr>
          <w:b/>
        </w:rPr>
        <w:t>E. 1</w:t>
      </w:r>
    </w:p>
    <w:p>
      <w:r>
        <w:t>Das Konkursgericht des Bezirksgerichtes Zürich eröffnete mit Urteil vom</w:t>
      </w:r>
    </w:p>
    <w:p>
      <w:r>
        <w:rPr>
          <w:b/>
        </w:rPr>
        <w:t>E. 4</w:t>
      </w:r>
    </w:p>
    <w:p>
      <w:r>
        <w:t>Die Obergerichtskasse wird angewiesen, von dem bei ihr hinterlegten Betrag in Höhe von Fr. 3'250.-- der Beschwerdegegnerin Fr. 3'129.65 auszuzahlen. Der Restbetrag ist vorbehältlich eines allfälligen Verrechnungsrechts an die Beschwerdeführerin auszuzahlen.</w:t>
      </w:r>
    </w:p>
    <w:p>
      <w:r>
        <w:rPr>
          <w:b/>
        </w:rPr>
        <w:t>E. 5</w:t>
      </w:r>
    </w:p>
    <w:p>
      <w:r>
        <w:t>Die Obergerichtskasse wird ferner angewiesen, den bei ihr hinterlegten Be- trag in Höhe von Fr. 17'895.25 dem Betreibungsamt Zürich 11 auszuzahlen, zur Anrechnung an die offenen Betreibungen.</w:t>
      </w:r>
    </w:p>
    <w:p>
      <w:r>
        <w:rPr>
          <w:b/>
        </w:rPr>
        <w:t>E. 6</w:t>
      </w:r>
    </w:p>
    <w:p>
      <w:r>
        <w:t>Schriftliche Mitteilung an die Parteien, an die Beschwerdegegnerin unter Beilage des Doppels von act. 2, sowie an das Konkursgericht des Bezirks- gerichtes Zürich (unter Rücksendung der erstinstanzlichen Akten) und das Konkursamt Oerlikon-Zürich, ferner im Urteils-Dispositiv an das Handelsre- gisteramt des Kantons Zürich und an das Betreibungsamt Zürich 11, je ge- gen Empfangsschein.</w:t>
      </w:r>
    </w:p>
    <w:p>
      <w:r>
        <w:t>- 7 -</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 iur. K. Houweling-Wili versandt am: 2. Oktober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