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PS250267 vom 24. September 2025</w:t>
      </w:r>
    </w:p>
    <w:p>
      <w:r>
        <w:t>ZH Obergericht, 2025-09-24, DE</w:t>
      </w:r>
    </w:p>
    <w:p>
      <w:r>
        <w:rPr>
          <w:b/>
        </w:rPr>
        <w:t xml:space="preserve">Quelle: </w:t>
      </w:r>
      <w:r>
        <w:t>https://mcp.opencaselaw.ch/entscheid/zh_obergericht_PS250267</w:t>
      </w:r>
    </w:p>
    <w:p>
      <w:r>
        <w:t>FR: ZH_OBERGERICHT PS250267 du 24 septembre 2025</w:t>
      </w:r>
    </w:p>
    <w:p>
      <w:r>
        <w:t>IT: ZH_OBERGERICHT PS250267 del 24 settembre 2025</w:t>
      </w:r>
    </w:p>
    <w:p>
      <w:pPr>
        <w:pStyle w:val="Heading2"/>
      </w:pPr>
      <w:r>
        <w:t>Erwägungen</w:t>
      </w:r>
    </w:p>
    <w:p>
      <w:r>
        <w:rPr>
          <w:b/>
        </w:rPr>
        <w:t>E. 3</w:t>
      </w:r>
    </w:p>
    <w:p>
      <w:r>
        <w:t>Die Schuldnerin ist allerdings auf Art. 195 SchKG hinzuweisen, wonach die Möglichkeit eines nachträglichen Widerrufs des Konkurses durch das Kon- kursgericht besteht, wenn nachgewiesen wird, dass sämtliche Forderungen (also auch die, für welche noch keine Betreibung eingeleitet wurde) beglichen sind oder</w:t>
      </w:r>
    </w:p>
    <w:p>
      <w:r>
        <w:t>- 4 - von jedem Gläubiger eine schriftliche Erklärung über den Rückzug seiner Kon- kurseingabe vorliegt oder ein Nachlassvertrag zustande gekommen ist.</w:t>
      </w:r>
    </w:p>
    <w:p>
      <w:r>
        <w:rPr>
          <w:b/>
        </w:rPr>
        <w:t>E. 4</w:t>
      </w:r>
    </w:p>
    <w:p>
      <w:r>
        <w:t>Ausgangsgemäss sind die Kosten des Beschwerdeverfahrens der Schuldnerin aufzuerlegen (Art. 106 Abs. 1 ZPO). Die zweitinstanzliche Entscheid- gebühr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