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PS250261 vom 6. Oktober 2025</w:t>
      </w:r>
    </w:p>
    <w:p>
      <w:r>
        <w:t>ZH Obergericht, 2025-10-06, DE</w:t>
      </w:r>
    </w:p>
    <w:p>
      <w:r>
        <w:rPr>
          <w:b/>
        </w:rPr>
        <w:t xml:space="preserve">Quelle: </w:t>
      </w:r>
      <w:r>
        <w:t>https://mcp.opencaselaw.ch/entscheid/zh_obergericht_PS250261</w:t>
      </w:r>
    </w:p>
    <w:p>
      <w:r>
        <w:t>FR: ZH_OBERGERICHT PS250261 du 6 octobre 2025</w:t>
      </w:r>
    </w:p>
    <w:p>
      <w:r>
        <w:t>IT: ZH_OBERGERICHT PS250261 del 6 ottobre 2025</w:t>
      </w:r>
    </w:p>
    <w:p>
      <w:pPr>
        <w:pStyle w:val="Heading2"/>
      </w:pPr>
      <w:r>
        <w:t>Erwägungen</w:t>
      </w:r>
    </w:p>
    <w:p>
      <w:r>
        <w:rPr>
          <w:b/>
        </w:rPr>
        <w:t>E. 1.1</w:t>
      </w:r>
    </w:p>
    <w:p>
      <w:r>
        <w:t>Die Schuldnerin und Beschwerdeführerin (nachfolgend: Schuldnerin) ist seit dem tt.mm.2022 als Gesellschaft mit beschränkter Haftung im Handelsregis- ter des Kantons Zürich eingetragen. Sie bezweckt … (act. 5).</w:t>
      </w:r>
    </w:p>
    <w:p>
      <w:r>
        <w:rPr>
          <w:b/>
        </w:rPr>
        <w:t>E. 1.2</w:t>
      </w:r>
    </w:p>
    <w:p>
      <w:r>
        <w:t>Mit Eingabe vom 13. Mai 2025 stellte die Gläubigerin und Beschwerdegeg- nerin (nachfolgend: Gläubigerin) beim Einzelgericht in Konkurssachen des Be- zirksgerichts Winterthur (nachfolgend: Vorinstanz) das Begehren um Konkurser- öffnung (act. 7/1). Am 20. August 2025, 11:00 Uhr, fand vor der Vorinstanz die Verhandlung nach Art. 168 SchKG statt. Gleichentags eröffnete die Vorinstanz mit Wirkung ab Mittwoch, 20. August 2025, 11:50 Uhr den Konkurs über die Schuld- nerin für eine Forderung der Gläubigerin von Fr. 3'547.35 einschliesslich Zinsen und bisherige Betreibungskosten (act. 3 = act. 6 [Aktenexemplar] = act. 7/7).</w:t>
      </w:r>
    </w:p>
    <w:p>
      <w:r>
        <w:rPr>
          <w:b/>
        </w:rPr>
        <w:t>E. 1.3</w:t>
      </w:r>
    </w:p>
    <w:p>
      <w:r>
        <w:t>Mit Eingabe vom 29. August 2025 (Poststempel gleichentags) erhob die Beschwerdeführerin gegen das Urteil vom 20. August 2025 Beschwerde bei der hiesigen Instanz (act. 2). Mit Verfügung vom 2. September 2025 wurde der Be- schwerde die aufschiebende Wirkung einstweilen verweigert und der Schuldnerin wurde Frist angesetzt, um zu Actorum 8 Stellung zu nehmen und um einen Kos- tenvorschuss von Fr. 750.– für das Beschwerdeverfahren zu leisten (act. 9). Da die Schuldnerin den Kostenvorschuss nicht fristgerecht leistete, wurde ihr mit Ver- fügung vom 18. September 2025 eine Nachfrist angesetzt (act. 11).</w:t>
      </w:r>
    </w:p>
    <w:p>
      <w:r>
        <w:rPr>
          <w:b/>
        </w:rPr>
        <w:t>E. 1.4</w:t>
      </w:r>
    </w:p>
    <w:p>
      <w:r>
        <w:t>Die vorinstanzlichen Akten wurden von Amtes wegen beigezogen (act. 7/1 – 9).</w:t>
      </w:r>
    </w:p>
    <w:p>
      <w:r>
        <w:rPr>
          <w:b/>
        </w:rPr>
        <w:t>E. 2.1</w:t>
      </w:r>
    </w:p>
    <w:p>
      <w:r>
        <w:t>In Anwendung von Art. 98 Abs. 1 ZPO kann das Gericht von der Be- schwerde führenden Person einen Kostenvorschuss einverlangen. Wird der Kos- tenvorschuss innert der Nachfrist nicht geleistet, tritt das Gericht auf die Be- schwerde nicht ein (vgl. Art. 101 Abs. 3 ZPO).</w:t>
      </w:r>
    </w:p>
    <w:p>
      <w:r>
        <w:t>- 3 -</w:t>
      </w:r>
    </w:p>
    <w:p>
      <w:r>
        <w:rPr>
          <w:b/>
        </w:rPr>
        <w:t>E. 2.2</w:t>
      </w:r>
    </w:p>
    <w:p>
      <w:r>
        <w:t>Die Verfügung vom 18. September 2025 betreffend Nachfrist (act. 11) gilt in Anwendung der Zustellfiktion von Art. 138 Abs. 3 Bst. a ZPO als am 26. Sep- tember 2025 zugestellt (vgl. act. 12). Die fünftägige Nachfrist endete somit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