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PS250205 vom 2. September 2025</w:t>
      </w:r>
    </w:p>
    <w:p>
      <w:r>
        <w:t>ZH Obergericht, 2025-09-02, DE</w:t>
      </w:r>
    </w:p>
    <w:p>
      <w:r>
        <w:rPr>
          <w:b/>
        </w:rPr>
        <w:t xml:space="preserve">Quelle: </w:t>
      </w:r>
      <w:r>
        <w:t>https://mcp.opencaselaw.ch/entscheid/zh_obergericht_PS250205</w:t>
      </w:r>
    </w:p>
    <w:p>
      <w:r>
        <w:t>FR: ZH_OBERGERICHT PS250205 du 2 septembre 2025</w:t>
      </w:r>
    </w:p>
    <w:p>
      <w:r>
        <w:t>IT: ZH_OBERGERICHT PS250205 del 2 settembre 2025</w:t>
      </w:r>
    </w:p>
    <w:p>
      <w:pPr>
        <w:pStyle w:val="Heading2"/>
      </w:pPr>
      <w:r>
        <w:t>Erwägungen</w:t>
      </w:r>
    </w:p>
    <w:p>
      <w:r>
        <w:rPr>
          <w:b/>
        </w:rPr>
        <w:t>E. 1</w:t>
      </w:r>
    </w:p>
    <w:p>
      <w:r>
        <w:t>In Gutheissung der Beschwerde wird das angefochtene Urteil des Kon- kursgerichtes des Bezirksgerichtes Zürich vom 8. Juli 2025 aufgehoben. Das Konkursbegehren wird abgewiesen.</w:t>
      </w:r>
    </w:p>
    <w:p>
      <w:r>
        <w:t>- 5 -</w:t>
      </w:r>
    </w:p>
    <w:p>
      <w:r>
        <w:rPr>
          <w:b/>
        </w:rPr>
        <w:t>E. 2</w:t>
      </w:r>
    </w:p>
    <w:p>
      <w:r>
        <w:t>Die zweitinstanzliche Entscheidgebühr wird auf Fr. 750.– festgesetzt. Die erstinstanzliche Entscheidgebühr von Fr. 400.– wird bestätigt. Die erst- so- wie die zweitinstanzliche Entscheidgebühr werden der Schuldnerin zur Hälfte auferlegt und im übrigen Umfang auf die Staatskasse genommen.</w:t>
      </w:r>
    </w:p>
    <w:p>
      <w:r>
        <w:rPr>
          <w:b/>
        </w:rPr>
        <w:t>E. 3</w:t>
      </w:r>
    </w:p>
    <w:p>
      <w:r>
        <w:t>Das Konkursamt Altstetten-Zürich wird angewiesen, von dem bei ihm einbe- zahlten Totalbetrag von Fr. 2'600.– (Fr. 1'200.– Zahlung der Schuldnerin so- wie Fr. 1'400.– Rest des von der Gläubigerin dem Konkursgericht geleiste- ten Vorschusses) der Gläubigerin Fr. 1'400.–, der Schuldnerin Fr. 1'000.– und der Bezirksgerichtskasse für die erstinstanzlichen Verfahrenskosten Fr. 200.– auszuzahlen. Die Kosten des Konkursamtes sind auf die Staats- kasse zu nehmen.</w:t>
      </w:r>
    </w:p>
    <w:p>
      <w:r>
        <w:rPr>
          <w:b/>
        </w:rPr>
        <w:t>E. 4</w:t>
      </w:r>
    </w:p>
    <w:p>
      <w:r>
        <w:t>Die Obergerichtskasse wird angewiesen, vom bei ihr einbezahlten Betrag von Fr. 750.– der Schuldnerin vorbehältlich eines Verrechnungsrechts Fr. 375.– auszubezahlen.</w:t>
      </w:r>
    </w:p>
    <w:p>
      <w:r>
        <w:rPr>
          <w:b/>
        </w:rPr>
        <w:t>E. 5</w:t>
      </w:r>
    </w:p>
    <w:p>
      <w:r>
        <w:t>Die Bezirksgerichtskasse wird angewiesen, den von ihr einbehaltenen Be- trag von Fr. 400.– für die erstinstanzliche Entscheidgebühr vorbehältlich ei- nes Verrechnungsrechts der Gläubigerin auszubezahlen.</w:t>
      </w:r>
    </w:p>
    <w:p>
      <w:r>
        <w:rPr>
          <w:b/>
        </w:rPr>
        <w:t>E. 6</w:t>
      </w:r>
    </w:p>
    <w:p>
      <w:r>
        <w:t>Es werden keine Parteienschädigungen zugesprochen.</w:t>
      </w:r>
    </w:p>
    <w:p>
      <w:r>
        <w:rPr>
          <w:b/>
        </w:rPr>
        <w:t>E. 7</w:t>
      </w:r>
    </w:p>
    <w:p>
      <w:r>
        <w:t>Schriftliche Mitteilung an die Parteien sowie an das Konkursgericht des Be- zirksgerichtes Zürich (unter Rücksendung der erstinstanzlichen Akten) und das Konkursamt Altstetten-Zürich, ferner im Urteils-Dispositiv an das Han- delsregisteramt des Kantons Zürich und an das Betreibungsamt Zürich 9, sowie an die Obergerichtskasse, je gegen Empfangsschein.</w:t>
      </w:r>
    </w:p>
    <w:p>
      <w:r>
        <w:rPr>
          <w:b/>
        </w:rPr>
        <w:t>E. 8</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- 6 -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Die Gerichtsschreiberin: MLaw M. Schnarwiler versandt am: 2.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