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PS250201 vom 21. August 2025</w:t>
      </w:r>
    </w:p>
    <w:p>
      <w:r>
        <w:t>ZH Obergericht, 2025-08-21, DE</w:t>
      </w:r>
    </w:p>
    <w:p>
      <w:r>
        <w:rPr>
          <w:b/>
        </w:rPr>
        <w:t xml:space="preserve">Quelle: </w:t>
      </w:r>
      <w:r>
        <w:t>https://mcp.opencaselaw.ch/entscheid/zh_obergericht_PS250201</w:t>
      </w:r>
    </w:p>
    <w:p>
      <w:r>
        <w:t>FR: ZH_OBERGERICHT PS250201 du 21 août 2025</w:t>
      </w:r>
    </w:p>
    <w:p>
      <w:r>
        <w:t>IT: ZH_OBERGERICHT PS250201 del 21 agosto 2025</w:t>
      </w:r>
    </w:p>
    <w:p>
      <w:pPr>
        <w:pStyle w:val="Heading2"/>
      </w:pPr>
      <w:r>
        <w:t>Erwägungen</w:t>
      </w:r>
    </w:p>
    <w:p>
      <w:r>
        <w:rPr>
          <w:b/>
        </w:rPr>
        <w:t>E. 18</w:t>
      </w:r>
    </w:p>
    <w:p>
      <w:r>
        <w:t>August 2025 und damit verspätet (act. 15). 2.5 Androhungsgemäss und in Anwendung von Art. 59 Abs. 2 lit. f ZPO ist auf die gegen die Konkurseröffnung erhobene Beschwerde nicht einzutreten. 3. Der Vollständigkeit halber ist die Schuldnerin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 4. Ausgangsgemäss sind die Kosten des Beschwerdeverfahrens von Fr. 750.– der Schuldnerin aufzuerlegen (Art. 106 Abs. 1 ZPO). Eine Parteientschädigung für das Beschwerdeverfahren ist nicht zuzusprechen; der Schuldnerin nicht aufgrund ihres Unterliegens, dem Gläubiger nicht mangels Umtrieben in diesem Verfahren.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