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PS250197 vom 12. August 2025</w:t>
      </w:r>
    </w:p>
    <w:p>
      <w:r>
        <w:t>ZH Obergericht, 2025-08-12, DE</w:t>
      </w:r>
    </w:p>
    <w:p>
      <w:r>
        <w:rPr>
          <w:b/>
        </w:rPr>
        <w:t xml:space="preserve">Quelle: </w:t>
      </w:r>
      <w:r>
        <w:t>https://mcp.opencaselaw.ch/entscheid/zh_obergericht_PS250197</w:t>
      </w:r>
    </w:p>
    <w:p>
      <w:r>
        <w:t>FR: ZH_OBERGERICHT PS250197 du 12 août 2025</w:t>
      </w:r>
    </w:p>
    <w:p>
      <w:r>
        <w:t>IT: ZH_OBERGERICHT PS250197 del 12 agosto 2025</w:t>
      </w:r>
    </w:p>
    <w:p>
      <w:pPr>
        <w:pStyle w:val="Heading2"/>
      </w:pPr>
      <w:r>
        <w:t>Erwägungen</w:t>
      </w:r>
    </w:p>
    <w:p>
      <w:r>
        <w:rPr>
          <w:b/>
        </w:rPr>
        <w:t>E. 2</w:t>
      </w:r>
    </w:p>
    <w:p>
      <w:r>
        <w:t>Die Konkurseröffnung kann im Beschwerdeverfahren aufgehoben werden, wenn der Schuldner mit der Einlegung des Rechtsmittels seine Zahlungsfähigkeit glaubhaft macht und einen der drei gesetzlich vorgesehenen Konkurshinderungs- gründe (Tilgung, Hinterlegung oder Gläubigerverzicht) urkundlich nachweist (Art. 174 Abs. 2 SchKG). Diese Aufzählung ist abschliessend. Neue Behauptun- gen und Urkundenbeweise sind unabhängig davon, ob sie vor oder nach dem erstinstanzlichen Entscheid ergangen sind, zulässig, müssen indes vor Ablauf der Beschwerdefrist beigebracht werden (BGE 136 III 294 und BGE 139 III 491). Da es sich bei der Beschwerdefrist um eine gesetzliche Frist handelt, ist die Gewäh- rung einer Fristerstreckung bzw. einer Nachfrist ausgeschlossen (Art. 144 Abs. 1 ZPO).</w:t>
      </w:r>
    </w:p>
    <w:p>
      <w:r>
        <w:t>- 3 - 3.1. Der Schuldner weist nach, beim Betreibungsamt am 9. Juli 2025 – und damit nach der Konkurseröffnung – die Konkursforderung vollständig bezahlt zu haben (act. 4). Damit der Konkurs aufgehoben werden kann, hätte der Schuldne- rin ferner urkundlich nachweisen müssen, dass er auch die Kosten des Konkur- samtes und des erstinstanzlichen Konkursgerichts beim zuständigen Konkursamt sichergestellt hat. Dies tat er nicht. Ausserdem hätte der Schuldner innert der Be- schwerdefrist seine Zahlungsfähigkeit glaubhaft zu machen gehabt. Der Schuld- ner reichte indes keinerlei Belege ein, welche Aufschluss über seine finanzielle Si- tuation respektive seine Zahlungsfähigkeit geben würden. Die Voraussetzungen zur Aufhebung des Konkurses, auf welche der Beschwerdeführer mit Verfügung vom 11. Juli 2025 hingewiesen wurde (act. 6 S. 2 f. E. 2.2 und 3.1), sind daher aus mehreren Gründen nicht erfüllt. Die Beschwerde ist abzuweisen.</w:t>
      </w:r>
    </w:p>
    <w:p>
      <w:r>
        <w:rPr>
          <w:b/>
        </w:rPr>
        <w:t>E. 3</w:t>
      </w:r>
    </w:p>
    <w:p>
      <w:r>
        <w:t>Der Vollständigkeit halber ist der Schuldner auf Art. 195 SchKG hinzuwei- sen, wonach (frühestens nach Ende der Eingabefrist, vgl. Art. 195 Abs. 2 SchKG) die Möglichkeit eines nachträglichen Widerrufs des Konkurses durch das Kon- kursgericht besteht, wenn nachgewiesen wird, dass sämtliche Forderungen (also auch die, für welche noch keine Betreibung eingeleitet wurden) beglichen sind oder von jedem Gläubiger eine schriftliche Erklärung über den Rückzug seiner Konkurseingabe vorliegt oder ein Nachlassvertrag zustande gekommen ist.</w:t>
      </w:r>
    </w:p>
    <w:p>
      <w:r>
        <w:rPr>
          <w:b/>
        </w:rPr>
        <w:t>E. 4</w:t>
      </w:r>
    </w:p>
    <w:p>
      <w:r>
        <w:t>Ausgangsgemäss sind die Prozesskosten dem Schuldner aufzuerlegen (Art. 106 Abs. 1 ZPO). Die zweitinstanzliche Entscheidgebühr ist in Anwendung von Art. 52 lit. b i.V.m. Art. 61 Abs. 1 GebV SchKG auf CHF 750.– festzusetzen. Parteientschädigungen sind nicht zuzusprechen; dem Schuldner nicht, weil er un- terliegt, der Gläubigerin nicht, weil ihr in diesem Verfahren keine entschädigungs- pflichtigen Umtriebe entstanden sind.</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