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PS250157 vom 24. Juni 2025</w:t>
      </w:r>
    </w:p>
    <w:p>
      <w:r>
        <w:t>ZH Obergericht, 2025-06-24, DE</w:t>
      </w:r>
    </w:p>
    <w:p>
      <w:r>
        <w:rPr>
          <w:b/>
        </w:rPr>
        <w:t xml:space="preserve">Quelle: </w:t>
      </w:r>
      <w:r>
        <w:t>https://mcp.opencaselaw.ch/entscheid/zh_obergericht_PS250157</w:t>
      </w:r>
    </w:p>
    <w:p>
      <w:r>
        <w:t>FR: ZH_OBERGERICHT PS250157 du 24 juin 2025</w:t>
      </w:r>
    </w:p>
    <w:p>
      <w:r>
        <w:t>IT: ZH_OBERGERICHT PS250157 del 24 giugno 2025</w:t>
      </w:r>
    </w:p>
    <w:p>
      <w:pPr>
        <w:pStyle w:val="Heading2"/>
      </w:pPr>
      <w:r>
        <w:t>Erwägungen</w:t>
      </w:r>
    </w:p>
    <w:p>
      <w:r>
        <w:rPr>
          <w:b/>
        </w:rPr>
        <w:t>E. 1</w:t>
      </w:r>
    </w:p>
    <w:p>
      <w:r>
        <w:t>Das Konkursgericht des Bezirksgerichtes Dielsdorf eröffnete mit Urteil vom 28. Mai 2025 über den Beschwerdeführer den Konkurs für eine Forderung der Be- schwerdegegnerin von Fr. 3'455.70 inkl. Zinsen und Kosten (act. 7 und act. 9). Dagegen erhob der Beschwerdeführer, vertreten durch die C._____ AG (Art. 68 Abs. 2 lit. c ZPO i.V.m. Art. 27 SchKG), mit Eingabe vom 6. Juni 2025 rechtzeitig Beschwerde, beantragte die Aufhebung des Konkurses und stellte ein Gesuch um Erteilung der aufschiebenden Wirkung (act. 2). Zudem leistete der Beschwerde- führer bereits den für die Kosten des Beschwerdeverfahrens vom Obergericht usanzgemäss erhobenen Vorschuss von Fr. 750.-- (act. 5/7). Mit Verfügung vom 10. Juni 2025 wurde der Beschwerde einstweilen die aufschiebende Wirkung zu- erkannt (act. 10).</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 haft zu machen hat. Neue Behauptungen und Urkundenbeweise über konkurshin- dernde Tatsachen kann er innert der Rechtsmittelfrist aber selbst dann vorbrin- gen, wenn sie nach dem erstinstanzlichen Entscheid ergangen sind. Nachfristen sind hingegen keine zu gewähren (vgl. dazu BGE 136 III 294). 3.1. Der Beschwerdeführer hinterlegte am 5. Juni 2025 innerhalb der Rechtsmit- telfrist beim Obergericht des Kantons Zürich zu Gunsten der Beschwerdegegnerin einen Betrag in Höhe von Fr. 6'705.10 (act. 5/6). Dieser Betrag reicht aus, um die Konkursforderung inklusive Zinsen und Kosten zu begleichen (vgl. act. 9). Des Weiteren bezahlte der Beschwerdeführer am 4. Juni 2025 dem Konkursamt Nie-</w:t>
      </w:r>
    </w:p>
    <w:p>
      <w:r>
        <w:t>- 3 - derglatt Fr. 580.--, welcher Betrag gemäss Bestätigung des Konkursamtes die Kosten des Konkursamtes und des Konkursgerichtes im Falle der Konkursaufhe- bung deckt (act. 5/8). Damit hat der Beschwerdeführer den Konkursaufhebungs- grund der Hinterlegung im Sinne von Art. 174 Abs. 2 Ziff. 2 SchKG durch Urkun- den nachgewiesen. In diesem Fall hat der Beschwerdeführer überdies seine Zah- lungsfähigkeit glaubhaft zu machen. 3.2.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Es genügt, wenn die Zahlungsfähigkeit wahrscheinlicher ist als die Zahlungsunfä- higkeit. Zahlungsfähigkeit bedeutet, dass ausreichende liquide Mittel vorhanden sind, mit denen die Gläubiger bei Fälligkeit ihrer Forderungen befriedigt werden können. Der Schuldner hat also aufzuzeigen, dass er in der Lage ist, seinen lau- fenden Verbindlichkeiten nachzukommen sowie die bestehenden Schulden abzu- tragen. Grundsätzlich als zahlungsunfähig erweist sich ein Schuldner, der bei- spielsweise Konkursandrohungen anhäufen lässt, systematisch Rechtsvorschlag erhebt und selbst kleinere Beträge nicht bezahlt. Bloss vorübergehende Zah- lungsschwierigkeiten lassen den Schuldner noch nicht als zahlungsunfähig er- scheinen, ausser wenn keine wesentlichen Anhaltspunkte für eine Verbesserung seiner finanziellen Situation zu erkennen sind und er auf unabsehbare Zeit als illi- quid erscheint (BGer, 5A_297/2012 vom 10. Juli 2012, E. 2.3; BGer, 5A_115/2012 vom 20. April 2012, E. 3; BGer, 5A_118/2012 vom 20. April 2012, E. 3.1; 5A_328/2011 vom 11. August 2011, E. 2). 3.3. Der Beschwerdeführer gibt zu seiner Zahlungsfähigkeit im Wesentlichen an, bei den ausstehenden Forderungen der Beschwerdegegnerin handle es sich um nicht bezahlte Rechnungen. Er habe die Krankenkassenversicherung bei der Be- schwerdegegnerin gekündigt. In Unkenntnis, dass für die Krankenkasse eine obli- gatorische Versicherungspflicht bestehe, habe er keine neue Krankenversiche- rung abgeschlossen. Dies habe zur Folge gehabt, dass er von der bisherigen Krankenversicherung nicht aus dem Versicherungsschutz habe entlassen werden</w:t>
      </w:r>
    </w:p>
    <w:p>
      <w:r>
        <w:t>- 4 - können und weiterhin Prämienrechnungen erhalten habe. In der irrigen Annahme, dass kein Forderungstitel bestehe, habe er die Prämienrechnungen nicht bezahlt, obwohl er leistungsfähig sei (act. 2 S. 3 f.). 3.4. Wesentlichen Aufschluss über das Zahlungsverhalten und die finanzielle Lage eines Schuldners vermittelt insbesondere das Betreibungsregister. Der vom Beschwerdeführer eingereichte Betreibungsregisterauszug des Betreibungsamtes Niederhasli-Niederglatt (act. 5/3) weist per 30. Mai 2025 keine Verlustscheine und vier Betreibungen im Gesamtbetrag von Fr. 10'443.95 aus. Davon ist eine Betrei- bungen über Fr. 2'413.85 durch Befriedigung nach Verwertung erledigt worden. Demnach bestehen abzüglich der hinterlegten Konkursforderung (im Registeraus- zug mit Fr. 3'076.90 vermerkt, Betreibung Nr. 1) derzeit noch zwei offene Betrei- bungen im Gesamtbetrag von Fr. 4'953.20, wobei eine weitere Betreibung der Be- schwerdegegnerin über Fr. 3'628.20 sich ebenfalls im Stadium der Konkursandro- hung befindet und in der anderen Betreibung über Fr. 1'325.-- Rechtsvorschlag erhoben wurde. Dabei ist einerseits zu berücksichtigen, dass letztere Forderung vom Beschwerdeführer bestritten wird und infolge des Rechtsvorschlages nicht unmittelbar zu bezahlen ist. Andererseits hinterlegte der Beschwerdeführer bei der Obergerichtskasse einen Überschuss von Fr. 3'249.40 (hinterlegter Betrag abzüglich Konkursforderung, act. 5/6 und act. 9) zugunsten der zweiten Betrei- bung der Beschwerdegegnerin (act. 2 S. 3). Damit verbleibt lediglich noch ein of- fener, unmittelbar zu tilgender Betrag von Fr. 378.80. 3.5. Diesem Betrag steht gemäss Auszug der auf den Beschwerdeführer lauten- den Konten bei der Zürcher Kantonalbank per 4. Juni 2025 ein Guthaben in Höhe von Fr. 358'876.96 gegenüber (act. 5/9). Ferner ist der Beschwerdeführer als Mit- erbe im Nachlass von E._____ am Grundstück Grundbuch Blatt 2, Kat.-Nr. 3, in der Gemeinde F._____ anteilsberechtigt (act. 5/10) und gemäss Eintrag im Han- delsregister des Kantons Zürich als einer von drei Gesellschaftern an der Kollek- tivgesellschaft B._____ beteiligt (act. 6), welche gemäss Kontoauszug der UBS per 2. Juni 2025 über ein Vermögen von Fr. 960'066.– und Debitoren in Höhe von Fr. 18'761.50 verfügt (act. 5/12-13 und act. 5/15) sowie Miteigentümerin der Lie-</w:t>
      </w:r>
    </w:p>
    <w:p>
      <w:r>
        <w:t>- 5 - genschaft Grundbuch Blatt 4 (84/1107 Miteigentum am Grundstück Blatt 5) in G._____ ist (act. 5/14). 3.6. Demnach stehen dem Beschwerdeführer für die Tilgung der in Betreibung gesetzten und nicht übermässig hohen Schulden sowie laufender Verbindlichkei- ten genügend flüssige Mittel zur Verfügung. Überdies präsentiert sich die finanzi- elle Situation des Beschwerdeführers auf Grund der vorhandenen Vermögens- werte insgesamt nicht als kritisch. Damit erscheint es auch glaubhaft, dass die Konkurseröffnung auf eine Nachlässigkeit zurückzuführen ist. Daher rechtfertigt es sich, von der Zahlungsfähigkeit des Beschwerdeführers im Sinne von Art. 174 Abs. 2 SchKG auszugehen.</w:t>
      </w:r>
    </w:p>
    <w:p>
      <w:r>
        <w:rPr>
          <w:b/>
        </w:rPr>
        <w:t>E. 4</w:t>
      </w:r>
    </w:p>
    <w:p>
      <w:r>
        <w:t>Die Beschwerde ist gutzuheissen. Die Kosten des Konkurseröffnungs- und des Beschwerdeverfahrens wurden durch die Zahlungssäumnis des Beschwerde- führers verursacht und sind daher ihm aufzuerlegen, obwohl der Konkurs letztlich aufgehoben werden kann. Prozessentschädigungen sind nicht zuzusprechen. Dem Beschwerdeführer nicht, da er das Beschwerdeverfahren durch seine Säum- nis verursacht hat, der Beschwerdegegnerin nicht, da ihr im Beschwerdeverfahren keine Umtriebe entstanden sind, die zu entschädigen wären. Der bei der Obergerichtskasse hinterlegte Betrag in Höhe von Fr. 6'705.10 ist im Umfang von Fr. 3'455.70 der Beschwerdegegnerin auszuzahlen (vgl. E. 3.1). Der Restbetrag in Höhe von Fr. 3'249.40 ist an das Betreibungsamt Niederhasli-Nie- derglatt zur Anrechnung an die weitere offene Betreibung der Beschwerdegegne- rin (Nr. 6) zu überweisen (vgl. E. 3.4).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