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PS250150 vom 6. Juni 2025</w:t>
      </w:r>
    </w:p>
    <w:p>
      <w:r>
        <w:t>ZH Obergericht, 2025-06-06, DE</w:t>
      </w:r>
    </w:p>
    <w:p>
      <w:r>
        <w:rPr>
          <w:b/>
        </w:rPr>
        <w:t xml:space="preserve">Quelle: </w:t>
      </w:r>
      <w:r>
        <w:t>https://mcp.opencaselaw.ch/entscheid/zh_obergericht_PS250150</w:t>
      </w:r>
    </w:p>
    <w:p>
      <w:r>
        <w:t>FR: ZH_OBERGERICHT PS250150 du 6 juin 2025</w:t>
      </w:r>
    </w:p>
    <w:p>
      <w:r>
        <w:t>IT: ZH_OBERGERICHT PS250150 del 6 giugno 2025</w:t>
      </w:r>
    </w:p>
    <w:p>
      <w:pPr>
        <w:pStyle w:val="Heading2"/>
      </w:pPr>
      <w:r>
        <w:t>Erwägungen</w:t>
      </w:r>
    </w:p>
    <w:p>
      <w:r>
        <w:rPr>
          <w:b/>
        </w:rPr>
        <w:t>E. 10</w:t>
      </w:r>
    </w:p>
    <w:p>
      <w:r>
        <w:t>Tagen ab Zustellung des erstinstanzlichen Entscheides beim Obergericht ein- zureichen und abschliessend zu begründen (Art. 174 Abs. 1 SchKG i.V.m. Art. 321 Abs. 1 ZPO). Eingaben müssen spätestens am letzten Tag der Frist beim Gericht eingereicht oder zu dessen Handen der Schweizerischen Post oder einer schweizerischen diplomatischen oder konsularischen Vertretung übergeben wer- den (Art. 143 Abs. 1 ZPO). 2.2.1. Das vorinstanzliche Urteil vom 2. Mai 2025 wurde der Schuldnerin am 5. Mai 2025 zugestellt (act. 7/17), womit die zehntägige Beschwerdefrist am</w:t>
      </w:r>
    </w:p>
    <w:p>
      <w:r>
        <w:rPr>
          <w:b/>
        </w:rPr>
        <w:t>E. 15</w:t>
      </w:r>
    </w:p>
    <w:p>
      <w:r>
        <w:t>Mai 2025 ablief. Die der Kammer am 2. Juni 2025 überbrachte Beschwerde erweist sich daher als verspätet. 2.2.2. Wie dargelegt ersucht die Schuldnerin in ihrer Eingabe vom 2. Juni 2025 um Wiederherstellung der (Beschwerde-)Frist (act. 2). Wer durch ein unverschul- detes Hindernis davon abgehalten worden ist, innert Frist zu handeln, kann nach Art. 33 Abs. 4 SchKG die Aufsichtsbehörde oder die in der Sache zuständige ge- richtliche Behörde um Wiederherstellung der Frist ersuchen. Gleichzeitig muss er, vom Wegfall des Hindernisses an, in der gleichen Frist wie der versäumten ein</w:t>
      </w:r>
    </w:p>
    <w:p>
      <w:r>
        <w:t>- 3 - begründetes Gesuch einreichen und die versäumte Rechtshandlung bei der zu- ständigen Behörde nachholen. Ein Restitutionsgesuch ist nur bei objektiver Un- möglichkeit, höherer Gewalt, unverschuldeter persönlicher Unmöglichkeit oder entschuldbarem Fristversäumnis gutzuheissen (vgl. BSK SchKG-NORD- MANN/ONEYSER, 3. Auflage 2021, Art. 33 N 10). Die Schuldnerin begründet ihr Gesuch um Wiederherstellung der Be- schwerdefrist sinngemäss damit, die ausstehende Konkursforderung innert der Beschwerdefrist bezahlt zu haben. Sie habe allerdings in dieser Zeit keine schrift- liche Beschwerde einreichen können, da sie sich in einer sehr schwierigen finan- ziellen Lage befunden und sich keinen Anwalt habe leisten können (act. 2 S. 1). Damit vermag die Schuldnerin allerdings kein unverschuldetes Hindernis darzu- tun, das sie an der rechtzeitigen Einreichung einer Beschwerde gehindert hätte: Abgesehen davon, dass eine Beschwerdeerhebung auch ohne Beizug einer Rechtsvertretung möglich ist und der Umstand, juristischer Laie zu sein, für sich alleine als Wiederherstellungsgrund grundsätzlich nicht genügt (vgl. dahingehend BGer 5A_969/2018 vom 6. Mai 2019 E. 2.2.3.), gab der Geschäftsführer der Schuldnerin anlässlich der Einvernahme vom 7. Mai 2025 beim Konkursamt Oerli- kon-Zürich an, eine Beschwerde einzureichen, und es wurden ihm ein Muster ei- ner Beschwerde samt Merkblätter übergeben (vgl. Sammel-act. 4, "Einvernahme- protokoll" S. 10, F/A 22 und "Beschwerde an die II. Zivilkammer des Obergerich- tes" inkl. Muster einer Beschwerde; vgl. auch Geschäfts-Nr. PZ250037, Aktenno- tiz vom 20. Mai 2025). Die Fristversäumnis gilt folglich als verschuldet, und das Fristwiederherstellungsgesuch ist abzuweisen. 2.3. Nach dem Gesagten ist auf die Beschwerde der Schuldnerin mangels Einhaltung der Beschwerdefrist nicht einzutreten. 3. Die Schuldnerin ist allerdings auf Art. 195 SchKG hinzuweisen, wonach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t>- 4 - 4. Ausgangsgemäss sind die Kosten des Beschwerdeverfahrens der Schuldnerin aufzuerlegen (Art. 106 Abs. 1 ZPO). Die zweitinstanzliche Spruchge- bühr ist in Anwendung von Art. 52 lit. b i.V.m. Art. 61 Abs. 1 GebV SchKG auf CHF 750.– festzusetzen. Parteientschädigungen sind keine zuzusprechen. Der Schuldnerin nicht, weil sie unterliegt, der Gläubigerin nicht, weil ihr keine wesentlichen Umtriebe im Zusammenhang mit dem Beschwerdeverfahren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