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PS250147 vom 3. Juli 2025</w:t>
      </w:r>
    </w:p>
    <w:p>
      <w:r>
        <w:t>ZH Obergericht, 2025-07-03, DE</w:t>
      </w:r>
    </w:p>
    <w:p>
      <w:r>
        <w:rPr>
          <w:b/>
        </w:rPr>
        <w:t xml:space="preserve">Quelle: </w:t>
      </w:r>
      <w:r>
        <w:t>https://mcp.opencaselaw.ch/entscheid/zh_obergericht_PS250147</w:t>
      </w:r>
    </w:p>
    <w:p>
      <w:r>
        <w:t>FR: ZH_OBERGERICHT PS250147 du 3 juillet 2025</w:t>
      </w:r>
    </w:p>
    <w:p>
      <w:r>
        <w:t>IT: ZH_OBERGERICHT PS250147 del 3 luglio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Entscheid einer unteren Aufsichtsbehörde kann innert zehn Tagen nach der Eröffnung an die obere kantonale Aufsichtsbehörde weitergezogen wer- den (Art. 18 Abs. 1 SchKG). Für das Beschwerdeverfahren selbst sind die Rege- lungen von Art. 319 ff. ZPO anwendbar (Art. 20a Abs. 3 SchKG i.V.m. § 18 EG SchKG i.V.m. § 84 GOG). Mit der Beschwerde können die unrichtige Rechtsan- wendung und die offensichtlich unrichtige Feststellung des Sachverhaltes geltend gemacht werden (Art. 320 ZPO). Dabei sind konkrete Beschwerdeanträge zu stel- len und zu begründen. Die Beschwerde führende Partei hat sich mit der Begrün- dung des vorinstanzlichen Entscheides im Einzelnen auseinander zu setzen und anzugeben, an welchen Mängeln der angefochtene Entscheid ihrer Ansicht nach leidet (Art. 321 ZPO; vgl. im Einzelnen auch BK ZPO, STERCHI, 2012, Art. 321 N 15 ff.). Bei Parteien ohne anwaltliche Vertretung wird an diese Erfordernisse ein weniger strenger Massstab angelegt. Bei fehlender Auseinandersetzung bzw. Be- gründung ist jedoch auf die Beschwerde ohne Weiteres nicht einzutreten (ZR 110 Nr. 80; OGer ZH PS110192 vom 21. Februar 2012 E. 5.1). Neue Anträge, neue Tatsachen und neue Beweismittel (Noven) sind im Beschwerdeverfahren ausge- schlossen (Art. 326 ZPO).</w:t>
      </w:r>
    </w:p>
    <w:p>
      <w:r>
        <w:rPr>
          <w:b/>
        </w:rPr>
        <w:t>E. 3</w:t>
      </w:r>
    </w:p>
    <w:p>
      <w:r>
        <w:t>Abgesehen von der Überschrift nimmt die Beschwerdeführerin in ihrer Be- schwerde keinen Bezug auf den vorinstanzlichen Entscheid. Sie unterlässt es, sich mit den Erwägungen der Vorinstanz (act. 3 E. 3 ff.) auseinanderzusetzen und aufzuzeigen, an welchen Mängeln der vorinstanzliche Entscheid leiden soll. Viel- mehr bringt sie lediglich vor und wiederholt teilweise wie vor Vorinstanz, das Ge- richt verhalte sich querulatorisch, behandle nicht die eigentliche Beschwerde und habe keine Urkunde über seine Legitimation und Entscheidungsträger geliefert (act. 2 S. 3 unten). Was sie aus dem – unbelegt gebliebenen – Umstand, der Er- satzrichter lic. iur. Bannwart habe ihr bei der ersten Beschwerde die Rechtsaus- kunft verweigert und sie aus dem Gericht polizeilich entfernen lassen, ableiten möchte (vgl. act. 2 S. 3 unten f.), bleibt unklar. Dies genügt den – auch unter Be- rücksichtigung der für juristische Laien herabgesetzten – Anforderungen an die</w:t>
      </w:r>
    </w:p>
    <w:p>
      <w:r>
        <w:t>- 4 - Begründung einer Beschwerde in keiner Weise. Damit kommt die Beschwerde- führerin ihrer Begründungsobliegenheit nicht nach, und auf die Beschwerde ist nicht einzutreten.</w:t>
      </w:r>
    </w:p>
    <w:p>
      <w:r>
        <w:rPr>
          <w:b/>
        </w:rPr>
        <w:t>E. 4</w:t>
      </w:r>
    </w:p>
    <w:p>
      <w:r>
        <w:t>Das Verfahren vor der oberen kantonalen Aufsichtsbehörde in Schuldbe- treibungs- und Konkurssachen ist kostenlos. Parteientschädigungen werden nicht zugesprochen (Art. 20a Abs. 2 Ziff. 5 SchKG; Art. 61 Abs. 2 lit. a und Art. 62 Abs. 2 GebV SchKG).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