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PS250070 vom 27. März 2025</w:t>
      </w:r>
    </w:p>
    <w:p>
      <w:r>
        <w:t>ZH Obergericht, 2025-03-27, DE</w:t>
      </w:r>
    </w:p>
    <w:p>
      <w:r>
        <w:rPr>
          <w:b/>
        </w:rPr>
        <w:t xml:space="preserve">Quelle: </w:t>
      </w:r>
      <w:r>
        <w:t>https://mcp.opencaselaw.ch/entscheid/zh_obergericht_PS250070</w:t>
      </w:r>
    </w:p>
    <w:p>
      <w:r>
        <w:t>FR: ZH_OBERGERICHT PS250070 du 27 mars 2025</w:t>
      </w:r>
    </w:p>
    <w:p>
      <w:r>
        <w:t>IT: ZH_OBERGERICHT PS250070 del 27 marzo 2025</w:t>
      </w:r>
    </w:p>
    <w:p>
      <w:pPr>
        <w:pStyle w:val="Heading2"/>
      </w:pPr>
      <w:r>
        <w:t>Erwägungen</w:t>
      </w:r>
    </w:p>
    <w:p>
      <w:r>
        <w:rPr>
          <w:b/>
        </w:rPr>
        <w:t>E. 19</w:t>
      </w:r>
    </w:p>
    <w:p>
      <w:r>
        <w:t>Februar 2025 und verlangt, die Verfügung vom 19. Februar 2025 sei nichtig zu erklären und aufzuheben und die Vorinstanz sei gerichtlich anzuweisen, eine 10-tägige Fristerstreckung zu bewilligen (act. 2; zur Rechtzeitigkeit act. 5/30/3). 1.3. Die vorinstanzlichen Akten wurden von Amtes wegen beigezogen (act. 5/1-30). Das Verfahren ist spruchreif. Auf die Ausführungen der Beschwerde- führerin ist nur insoweit einzugehen, als sie für den Beschwerdeentscheid rele- vant sind.</w:t>
      </w:r>
    </w:p>
    <w:p>
      <w:r>
        <w:t>- 3 - 2.1. Für das Beschwerdeverfahren nach Art. 18 SchKG sind die Regelungen von Art. 319 ff. ZPO anwendbar (Art. 20a Abs. 3 SchKG i.V.m. § 18 EG SchKG i.V.m. § 84 GOG). Bei der angefochtenen Verfügung handelt es sich um eine pro- zessleitende Verfügung im Sinne von Art. 319 lit. b ZPO. Diese kann – mangels gesetzlicher Regelung gemäss Ziffer 1 der Bestimmung – mittels Beschwerde nur angefochten werden, wenn durch sie ein nicht leicht wiedergutzumachender Nachteil droht (Art. 319 lit. b Ziffer 2 ZPO; FUCHS, in: SUTTER-SOMM/HASENBÖH- LER/LEUENBERGER, ZPO Komm., 4. Auflage 2025, Art. 144 N 8). 2.2. Das Vorliegen der Rechtsmittelvoraussetzungen ist von Amtes wegen zu prüfen, doch grundsätzlich nur auf Basis des dem Gericht vorgelegten Tatsachen- materials (vgl. ERK, DIKE-Komm-ZPO, 3. Auflage 2025, Art. 60 N 3). Entspre- chend muss die betroffene Partei den nicht leicht wiedergutzumachenden Nach- teil dartun, d.h. sie ist beweispflichtig, sofern die Gefahr nicht von vornherein of- fenkundig ist (STERCHI, in: Berner Kommentar zur Schweizerischen Zivilprozess- ordnung, Band II, Art. 319 N 15 m.w.H.). 2.3.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juristischen Laien genügt als Antrag eine Formulie- rung, aus der sich mit gutem Willen herauslesen lässt, wie das Obergericht ent- scheiden soll. Zur Begründung reicht aus, wenn auch nur ganz rudimentär zum Ausdruck kommt, an welchen Mängeln der angefochtene Entscheid leidet bzw. weshalb der angefochtene Entscheid nach Auffassung der die Beschwerde füh- renden Partei unrichtig sein soll. Dies setzt eine Auseinandersetzung mit den vor- instanzlichen Erwägungen voraus. Sind auch diese Voraussetzungen nicht gege- ben, ist auf die Beschwerde nicht einzutreten. Neue Anträge, neue Tatsachenbe- hauptungen und neue Beweismittel sind im Beschwerdeverfahren ausgeschlos- sen (Art. 326 Abs. 1 ZPO). 3. Die Beschwerdeführerin macht keine Ausführungen zur Frage, inwiefern ihr durch den vorinstanzlichen Entscheid ein nicht leicht wiedergutzumachender</w:t>
      </w:r>
    </w:p>
    <w:p>
      <w:r>
        <w:t>- 4 - Nachteil droht. Es ist auch nicht erkennbar, weshalb ihr durch den negativen Frist- erstreckungsentscheid aktuell ein Nachteil im Sinne von Art. 319 lit. b Ziffer 2 ZPO drohen würde: Eine zu Unrecht verweigerte Fristerstreckung führte dazu, dass der Beschwerdeführerin eine Äusserungsmöglichkeit verwehrt oder eine verspätete Eingabe nicht berücksichtigt würde. Dies stellte zwar eine Verletzung ihres rechtli- chen Gehörs dar. Nach konstanter Rechtsprechung bildet eine Gehörsverletzung jedoch keinen nicht leicht wiedergutzumachenden Nachteil im Sinne von Art. 319 lit. b Ziffer 2 ZPO, der eine Anfechtung der entsprechenden prozessleitenden Ver- fügung rechtfertigen würde, da die Rüge der Gehörsverletzung im Rechtsmittel gegen den Endentscheid vorgebracht werden kann (vgl. OGer ZH PP220040 vom 10. November 2022 E. 3.3. mit Verweis auf BGE 133 III 629 E. 2.3.1 und BGer 5A_85/2014 vom 24. Februar 2014 E. 2.2.2). Abgesehen davon blieb die vorin- stanzliche Feststellung unbestritten, dass sich die Beschwerdeführerin zur Ver- nehmlassung vom 8. Januar 2025 samt Beilagen ohnehin bereits geäussert habe (vgl. act. 4 S. 2). Folglich ist mangels Prozessvoraussetzungen auf die Be- schwerde nicht einzutreten. 4. Gemäss Art. 20a Abs. 2 Ziff. 5 SchKG i.V.m. Art. 61 GebV SchKG ist das Beschwerdeverfahren vor der Aufsichtsbehörde kostenlos. Parteientschädigun- gen sind keine zuzusprechen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