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PS250048 vom 20. Februar 2025</w:t>
      </w:r>
    </w:p>
    <w:p>
      <w:r>
        <w:t>ZH Obergericht, 2025-02-20, DE</w:t>
      </w:r>
    </w:p>
    <w:p>
      <w:r>
        <w:rPr>
          <w:b/>
        </w:rPr>
        <w:t xml:space="preserve">Quelle: </w:t>
      </w:r>
      <w:r>
        <w:t>https://mcp.opencaselaw.ch/entscheid/zh_obergericht_PS250048</w:t>
      </w:r>
    </w:p>
    <w:p>
      <w:r>
        <w:t>FR: ZH_OBERGERICHT PS250048 du 20 février 2025</w:t>
      </w:r>
    </w:p>
    <w:p>
      <w:r>
        <w:t>IT: ZH_OBERGERICHT PS250048 del 20 febbraio 2025</w:t>
      </w:r>
    </w:p>
    <w:p>
      <w:pPr>
        <w:pStyle w:val="Heading2"/>
      </w:pPr>
      <w:r>
        <w:t>Erwägungen</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3.1. Die Schuldnerin macht in ihrer Beschwerde keinen der gesetzlichen Kon- kurshinderungsgründe geltend und reicht dazu auch keine Belege ein. Zur Zah- lungsfähigkeit führt sie lediglich aus, sie verfüge über ausreichend Aufträge und erwirtschafte gute Umsätze (act. 2 unten), wiederum ohne diese Behauptung mit Unterlagen zu untermauern. Damit ist die Beschwerde abzuweisen. Mit dem Ent- scheid in der Sache wird das Gesuch um Erteilung der aufschiebenden Wirkung gegenstandslos.</w:t>
      </w:r>
    </w:p>
    <w:p>
      <w:r>
        <w:t>- 3 - 3.2. Lediglich der Vollständigkeit halber ist festzuhalten, dass die Zustellung der Vorladung zur Konkursverhandlung an die D._____ GmbH, E._____- strasse …, … Zürich (vgl. dazu act. 7/6) nicht zu beanstanden ist, handelt es sich dabei um die Domizilhalterin bzw. bei der Adresse um die c/o-Adresse der Schuldnerin im Sinne von Art. 117 Abs. 2 2. Satz und Abs. 3 HRegV (vgl. act. 4). Dass die Mitarbeiterin der Domizilhalterin nicht berechtigt gewesen sei, die Zustel- lung der Vorinstanz entgegenzunehmen (vgl. dahingehend act. 2 S. 1 Mitte), macht die Schuldnerin nicht geltend.</w:t>
      </w:r>
    </w:p>
    <w:p>
      <w:r>
        <w:rPr>
          <w:b/>
        </w:rPr>
        <w:t>E. 4</w:t>
      </w:r>
    </w:p>
    <w:p>
      <w:r>
        <w:t>Die Schuldnerin ist auf Art. 195 SchKG hinzuweisen, wonach die Möglich- keit eines nachträglichen Widerrufs des Konkurses durch das Konkursgericht be- steht, wenn nachgewiesen wird, dass sämtliche Forderungen (also auch die, für welche noch keine Betreibung eingeleitet wurde) beglichen sind oder von jedem Gläubiger eine schriftliche Erklärung über den Rückzug seiner Konkurseingabe vorliegt oder ein Nachlassvertrag zustande gekommen ist.</w:t>
      </w:r>
    </w:p>
    <w:p>
      <w:r>
        <w:rPr>
          <w:b/>
        </w:rPr>
        <w:t>E. 5</w:t>
      </w:r>
    </w:p>
    <w:p>
      <w:r>
        <w:t>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