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PS250008 vom 22. Januar 2025</w:t>
      </w:r>
    </w:p>
    <w:p>
      <w:r>
        <w:t>ZH Obergericht, 2025-01-22, DE</w:t>
      </w:r>
    </w:p>
    <w:p>
      <w:r>
        <w:rPr>
          <w:b/>
        </w:rPr>
        <w:t xml:space="preserve">Quelle: </w:t>
      </w:r>
      <w:r>
        <w:t>https://mcp.opencaselaw.ch/entscheid/zh_obergericht_PS250008</w:t>
      </w:r>
    </w:p>
    <w:p>
      <w:r>
        <w:t>FR: ZH_OBERGERICHT PS250008 du 22 janvier 2025</w:t>
      </w:r>
    </w:p>
    <w:p>
      <w:r>
        <w:t>IT: ZH_OBERGERICHT PS250008 del 22 gennaio 2025</w:t>
      </w:r>
    </w:p>
    <w:p>
      <w:pPr>
        <w:pStyle w:val="Heading2"/>
      </w:pPr>
      <w:r>
        <w:t>Erwägungen</w:t>
      </w:r>
    </w:p>
    <w:p>
      <w:r>
        <w:rPr>
          <w:b/>
        </w:rPr>
        <w:t>E. 1</w:t>
      </w:r>
    </w:p>
    <w:p>
      <w:r>
        <w:t>Das Konkursgericht des Bezirksgerichtes Dietikon eröffnete mit Urteil vom 7. Januar 2025 über die Beschwerdeführerin den Konkurs für eine Forderung der Beschwerdegegnerin von Fr. 2'118.30 zuzüglich Fr. 500.-- Umtriebsentschädi- gung und Fr. 183.10 Betreibungskosten (act. 10/6 = act. 9). Dagegen erhob die Beschwerdeführerin mit Eingabe vom 11. Januar 2025 rechtzeitig Beschwerde, beantragte die Aufhebung des Konkurses und stellte ein Gesuch um Erteilung der aufschiebenden Wirkung (act. 2). Zudem leistete die Beschwerdeführerin bereits den für die Kosten des Beschwerdeverfahrens vom Obergericht usanzgemäss er- hobenen Vorschuss von Fr. 750.-- (act. 8). Mit Verfügung vom 14. Januar 2025 wurde der Beschwerde einstweilen die aufschiebende Wirkung zuerkannt (act. 11). Sodann ergänzte die Beschwerdeführerin ihre Beschwerde mit Einga- ben vom 17. und 20. Januar 2025 innert der Rechtsmittelfrist (act. 13 und act. 15).</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hinterlegte am 10. Januar 2025 innerhalb der Rechtsmittelfrist beim Obergericht des Kantons Zürich zu Gunsten der Beschwer- degegnerin einen Betrag in Höhe von Fr. 2'801.40 (act. 5/5 und act. 7). Dieser Be- trag deckt die Konkursforderung einschliesslich Kosten. Des Weiteren bezahlte die Beschwerdeführerin am 9. Januar 2025 dem Konkursamt Schlieren Fr. 1'000.–, welcher Betrag gemäss Bestätigung des Konkursamtes die Kosten</w:t>
      </w:r>
    </w:p>
    <w:p>
      <w:r>
        <w:t>- 3 - des Konkursamtes und des Konkursgerichtes im Falle der Konkursaufhebung deckt (act. 5/6). Damit hat die Beschwerdeführerin den Konkursaufhebungsgrund der Hinterlegung im Sinne von Art. 174 Abs. 2 Ziff. 2 SchKG durch Urkunden nachgewiesen. In diesem Fall hat die Beschwerdeführerin überdies ihre Zah- 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5A_297/2012 vom 10. Juli 2012, E. 2.3; BGer, 5A_115/2012 vom 20. April 2012, E. 3; BGer, 5A_118/2012 vom 20. April 2012, E. 3.1; 5A_328/2011 vom 11. August 2011, E. 2). 3.3. Die Beschwerdeführerin ist als GmbH seit dem tt.mm.2022 im Handelsregis- ter des Kantons Zürich eingetragen und bezweckt die Entwicklung, Gestaltung, Herstellung und Verkauf von Textilien, Schuhen, Lederwaren sowie Accessoires für Herren, Damen und Kinder (act. 6). Zu ihrer Zahlungsfähigkeit gibt die Be- schwerdeführerin im Wesentlichen an, sie sei in keiner Weise zahlungsunfähig. Zur Konkurseröffnung sei es infolge einer unbeabsichtigten Nachlässigkeit ge- kommen. Sie habe sich zwischenzeitlich beraten lassen und werde sofort zuver- lässige administrative und organisatorische Massnahmen ergreifen, damit in Zu-</w:t>
      </w:r>
    </w:p>
    <w:p>
      <w:r>
        <w:t>- 4 - kunft derartige Nachlässigkeiten nicht mehr vorkämen. Das Geschäft sei in den letzten Jahren stets operativ, lukrativ und aktiv gewesen, ohne in Liquiditätseng- pässe oder Zahlungsschwierigkeiten zu geraten (act. 2 S. 3 und S. 4). In der Ver- gangenheit seien zwar immer wieder Betreibungen eingeleitet worden, soweit es sich um berechtigte Forderungen gehandelt habe, seien diese aber immer bezahlt worden. Bereits im ersten Geschäftsjahr 2023 habe sie einen Reingewinn vor Steuern in Höhe von Fr. 4'232.38 erzielen können. Aktuell sei die Summe der vor- handenen Geldmittel und Debitoren höher als die gegenüberstehenden offenen Kreditoren, weshalb der Beschwerdeführerin kein Liquiditätsengpass bevorstehe (act. 2 S. 6 f. und act. 13 S. 3 f.). 3.4. Wesentlichen Aufschluss über das Zahlungsverhalten und die finanzielle Lage eines Schuldners vermittelt insbesondere das Betreibungsregister. Der von der Beschwerdeführerin eingereichte Betreibungsregisterauszug des Betreibungs- amtes Schlieren (act. 5/8) weist per 9. Januar 2025 keine Verlustscheine und 11 Betreibungen im Gesamtbetrag von Fr. 44'523.40 aus. Davon sind zwei Betrei- bungen über insgesamt Fr. 3'571.35 durch Bezahlung an das Betreibungsamt oder die Gläubigerin erledigt worden. Demnach bestehen abzüglich der hinterleg- ten Konkursforderung (im Registerauszug mit Fr. 2'618.30 vermerkt) derzeit noch acht offene Betreibungen im Gesamtbetrag von Fr. 38'333.75, wobei zwei Betrei- bungen über Fr. 10'990.55 sich im Stadium der Pfändung befinden, bei einer wei- teren Betreibung über Fr. 3'636.40 ebenfalls die Konkursandrohung ausgestellt wurde und eine Betreibung über Fr. 3'579.35 neu eingeleitet wurde. Bei den übri- gen vier Betreibungen über Fr. 20'127.45 wurde Rechtsvorschlag erhoben. Dabei ist zu berücksichtigen, dass diese Forderungen von der Beschwerdeführerin be- stritten werden und infolge des Rechtsvorschlages nicht unmittelbar zu bezahlen sind. Vor allem aber sind sie im Rahmen der Prüfung der Zahlungsfähigkeit vorlie- gend nicht zu berücksichtigen: Da beim Einleiten einer Betreibung deren materi- elle Begründung nicht geprüft wird (BSK SchKG I-Kofmel Ehrenzeller, Art. 67 N 42), muss auch die Betriebene nicht glaubhaft machen und schon gar nicht be- weisen, dass sie nichts schulde. Anders verhält es sich, wenn die Konkursitin of- fenkundig systematisch und nur zur Verzögerung Rechtsvorschlag erhebt; dann darf und muss von ihr verlangt werden, dass sie sich auch zu den durch Rechts-</w:t>
      </w:r>
    </w:p>
    <w:p>
      <w:r>
        <w:t>- 5 - vorschlag gehemmten Betreibungen äussert und ihre Bestreitungen näher darlegt (BGer, 5A_115/2012 vom 20. April 2012, E. 3 und 4.3.2; 5A_810/2015 vom 17. Dezember 2015, E. 3.3.2, und 5A_417/2020 vom 27. Oktober 2020 E.4.3.3). Das scheint vorliegend nicht der Fall zu sein. Sodann weist die Beschwerdeführerin nach, am 20. Januar 2025 an das Betreibungsamt drei Zahlungen über insgesamt Fr. 9'023.10 geleistet zu haben (act. 16/1-4). Somit ist vorliegend noch von offe- nen, in Betreibung gesetzten Forderungen in Höhe von Fr. 9'183.20 auszugehen. Hinzu kommen vier offene Forderungen in Höhe von insgesamt Fr. 2'762.07 (act. 14/10). 3.5. Diesen Verbindlichkeiten steht gemäss Auszug des auf die Beschwerdefüh- rerin lautenden Kontos bei der UBS per 20. Januar 2025 ein Guthaben in Höhe von Fr. 6'014.86.– gegenüber (act. 16/1). Zudem bestehen nach Darstellung der Beschwerdeführerin Debitoren in Höhe von Fr. 21'057.85 (act. 14/11), ein Waren- inventar im Wert von Fr. 1'113'412.– und ein Geschäftsinventar in Höhe von Fr. 157'331.60 (act. 13 S. 5 Ziff. 7 und act. 14/12). Aus der Debitorenliste ist aller- dings nicht ersichtlich, wann die Forderungen fällig sind. Jedenfalls geht daraus nicht hervor, in welchem Zeitraum mit welchem Betrag gerechnet werden kann. Ebenso sind die Warenvorräte keine liquiden Mittel und kann das Geschäftsinven- tar grundsätzlich nicht zur Schuldentilgung herangezogen werden. Ferner verfügt die Beschwerdeführerin über ein Mieterkautionssparkonto bei der ZKB, welches per 31. Dezember 2024 einen Saldo von Fr. 58'405.65 ausweist (act. 14/15). Die- ses Konto dient indes der Sicherstellung einer Mietzinsgarantie und die Mittel ste- hen dem Mieter (bis zur Freigabe der Mieterkaution nach Auflösung des Mietver- trages mit Zustimmung des Vermieters) nicht zur freien Verfügung. 3.6. Demnach stehen der Beschwerdeführerin für die Schuldentilgung derzeit einzig die flüssigen Mittel in Höhe von Fr. 6'014.86.-- zur Verfügung. Dieser Be- trag reicht nicht aus, um (nebst den laufenden Verbindlichkeiten) alle offenen, in Betreibung gesetzten Forderungen in Höhe von Fr. 9'183.20 zu bezahlen. Zu Gunsten der Beschwerdeführerin ist aber zu werten, dass sie innert der Be- schwerdefrist vom 18. bis zum 20. Januar 2025 Fr. 11'603.09 umsetzen (act. 16/5) und damit bereits rund die Hälfte der offenen, in Betreibung gesetzten</w:t>
      </w:r>
    </w:p>
    <w:p>
      <w:r>
        <w:t>- 6 - Schulden bezahlen konnte (vgl. E. 3.4 vorstehend). Gestützt auf die Erfolgsrech- nung des ersten (verlängerten) Geschäftsjahres (August 2022 bis Ende 2023), die einen Gesamtumsatz von Fr. 881'999.47 ausweist (act. 5/3), ist davon auszuge- hen, dass der Umsatz von Fr. 11'603.09 einem durchschnittlichen Wochenumsatz entspricht und die Beschwerdeführerin auch in den nächsten Wochen Umsätze in dieser Grössenordnung erwirtschaften können wird. Damit erscheint glaubhaft, dass die Beschwerdeführerin die benötigten Geldwerte aus dem beträchtlichen Lagerbestand innert angemessener Frist verflüssigen und damit sowohl die lau- fenden Verbindlichkeiten decken als auch die verbleibenden Schulden abtragen können wird. Es rechtfertigt sich daher insgesamt, die Zahlungsfähigkeit im heuti- gen Zeitpunkt gerade noch als glaubhaft zu erachten und von der Wahrscheinlich- keit der wirtschaftlichen Lebensfähigkeit der Beschwerdeführerin auszugehen, weshalb sie nach dem Gesagten als zahlungsfähig im Sinne von Art. 174 Abs. 2 SchKG gilt. Die finanziellen Verhältnisse der Beschwerdeführerin erschei- nen allerdings knapp und die Beschwerdeführerin muss sich darüber im Klaren sein, dass weitere Konkursandrohungen oder sogar Konkurseröffnungen die Be- urteilung so verändern könnten, dass eine zukünftige Beschwerde dannzumal nur wenig Aussicht auf Erfolg hätte.</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Prozessentschädigungen sind mangels entstandener Umtriebe nicht zuzusprechen. Der bei der Obergerichtskasse hinterlegte Betrag von Fr. 2'801.40 ist der Beschwerdegegnerin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