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PS250006 vom 4. Februar 2025</w:t>
      </w:r>
    </w:p>
    <w:p>
      <w:r>
        <w:t>ZH Obergericht, 2025-02-04, DE</w:t>
      </w:r>
    </w:p>
    <w:p>
      <w:r>
        <w:rPr>
          <w:b/>
        </w:rPr>
        <w:t xml:space="preserve">Quelle: </w:t>
      </w:r>
      <w:r>
        <w:t>https://mcp.opencaselaw.ch/entscheid/zh_obergericht_PS250006</w:t>
      </w:r>
    </w:p>
    <w:p>
      <w:r>
        <w:t>FR: ZH_OBERGERICHT PS250006 du 4 février 2025</w:t>
      </w:r>
    </w:p>
    <w:p>
      <w:r>
        <w:t>IT: ZH_OBERGERICHT PS250006 del 4 febbraio 2025</w:t>
      </w:r>
    </w:p>
    <w:p>
      <w:pPr>
        <w:pStyle w:val="Heading2"/>
      </w:pPr>
      <w:r>
        <w:t>Erwägungen</w:t>
      </w:r>
    </w:p>
    <w:p>
      <w:r>
        <w:rPr>
          <w:b/>
        </w:rPr>
        <w:t>E. 2</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 zung bzw. Begründung ist jedoch auf die Beschwerde ohne Weiteres nicht einzu- treten (ZR 110 Nr. 80; OGer ZH PS110192 vom 21. Februar 2012, Erw. 5.1; PS240173 vom 28. Oktober 2024 E. 2). Neue Anträge, neue Tatsachenbehaup- tungen und neue Beweismittel sind im Beschwerdeverfahren ausgeschlossen (Art. 326 ZPO). Das gilt auch im zweitinstanzlichen betreibungsrechtlichen Be- schwerdeverfahren (vgl. OGer ZH PS110019 vom 21. Februar 2011, E. 3.4; PS240181 vom 14. November 2024 E.II/1). 3.1. Die Vorinstanz trat auf die Beschwerde wegen Verletzung der Mitwirkungs- pflicht nicht ein. Sie erwog, trotz Aufforderung habe sich der Beschwerdeführer nicht zur Person des Gläubigers resp. der Gläubigerin geäussert (act. 3). 3.2. Der Beschwerdeführer wendet dagegen ein, die Vorinstanz habe die Betrei- bungsnummer und die Nummer der Pfändungsurkunde erhalten. Sinngemäss macht er geltend, die Vorinstanz hätte damit die entsprechenden Akten beiziehen müssen. Die Begründung des Nichteintretens sei nur ein Vorwand, um sich nicht zur Gültigkeit der Pfändungsurkunde äussern zu müssen (act. 1 S 1 ff.). 3.3. Nach Art. 20a Abs. 2 Ziff. 2 SchKG stellt die Aufsichtsbehörde den Sachver- halt von Amtes wegen fest. Das heisst, die Aufsichtsbehörde ist für die Beschaf- fung des die Entscheidungsgrundlage bildenden Tatsachenmaterials zuständig. Wo zur Feststellung des rechtserheblichen Sachverhalts eine Beweiserhebung unumgänglich ist, hat die Aufsichtsbehörde daher unaufgefordert bzw. auch ohne</w:t>
      </w:r>
    </w:p>
    <w:p>
      <w:r>
        <w:t>- 4 - Antrag einer Partei zu den prozessüblichen Beweismitteln zu greifen. So hat sie insbesondere Urkunden von sich aus beizuziehen bzw. allfällige Zeugen und Sachverständige zu befragen (vgl. etwa BGE 123 III 328 E. 3; BGer 5A_990/2018 vom 25. Juni 2019, E. 2.2). Die Aufsichtsbehörde kann die Parteien zur Mitwir- kung anhalten und braucht auf deren Begehren nicht einzutreten, wenn sie die notwendige und zumutbare Mitwirkung verweigern. Die Aufsichtsbehörden sind somit nicht verpflichtet, nach Tatsachen zu forschen, die nicht aktenkundig sind (BGE 123 III 328 E. 3; BGer 5A_902/2010 vom 28. Februar 2011, E. 2.1; 5A_186/2011 vom 27. April 2011, E. 2.1; 5A_459/2024 vom 27. September 2024 E. 4.2). 3.4. Vorliegend hat die Vorinstanz ihren Nichteintretensentscheid damit begrün- det, dass der Beschwerdeführer nicht angegeben habe, wer der Gläubiger resp. die Gläubigerin sei, und dass die Beschwerdebeilagen nicht vollständig seien (vgl. act. 3). Der Beschwerdeführer wendet zu Recht ein, dass aus den von ihm einge- reichten Unterlagen sowohl die Betreibungsnummer als auch die Nummer der Pfändungsurkunde hervorgeht. Ebenfalls ersichtlich ist, welches Betreibungsamt die Pfändungsurkunde ausstellte (vgl. act. 5/2/1). Damit wäre es der Vorinstanz ohne Weiteres möglich (und zumutbar) gewesen, die Akten der entsprechenden Pfändung beim zuständigen Betreibungsamt beizuziehen. Weshalb die Angabe des Gläubigers (durch den Beschwerdeführer) dafür notwendig sein soll, ist weder dargetan noch ersichtlich. Die Mitwirkungspflicht der Parteien bezieht sich auf not- wendige Informationen, die sich nicht aus den Akten ergeben und die die Auf- sichtsbehörden daher – wenn überhaupt – nur mit erheblichem Aufwand selbst er- hältlich machen können (vgl. Art. 20a Abs. 2 Ziff. 2 SchKG). Das ist vorliegend nicht der Fall. Die Information, wer Gläubiger ist, wird sich vorliegend – ohne Wei- teres – aus den Akten ergeben, weshalb sich die Vorinstanz der (eingeschränk- ten) Untersuchungsmaxime nicht gestützt auf die Mitwirkungspflicht des Be- schwerdeführers entziehen kann. Das Beharren auf der Angabe des Gläubigers durch den Beschwerdeführer erscheint auch vor dem Hintergrund, dass der Be- treibungsgläubiger im Aufsichtsbeschwerdeverfahren nach Art. 17 f. SchKG keine Partei im zivilprozessualen Sinne ist (OGer ZH PS190210 vom 3. Dezember 2019 E. 4.2.2 m.w.H.), überspitzt formalistisch. Zudem ist zu berücksichtigen, dass sich</w:t>
      </w:r>
    </w:p>
    <w:p>
      <w:r>
        <w:t>- 5 - der Beschwerdeführer als juristischer Laie seiner Mitwirkungsobliegenheit zu we- nig bewusst war. In Gutheissung der Beschwerde ist der vorinstanzliche Ent- scheid daher aufzuheben und die Sache an die Vorinstanz zur Durchführung des Verfahrens zurückzuweisen.</w:t>
      </w:r>
    </w:p>
    <w:p>
      <w:r>
        <w:rPr>
          <w:b/>
        </w:rPr>
        <w:t>E. 4</w:t>
      </w:r>
    </w:p>
    <w:p>
      <w:r>
        <w:t>Für das Verfahren vor der oberen kantonalen Aufsichtsbehörde in Schuldbetreibungs- und Konkurssachen sind keine Kosten zu erheben (Art. 20a Abs. 2 Ziff. 5 SchKG). Gemäss Art. 62 Abs. 2 GebV SchKG sind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