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PS250001 vom 9. April 2025</w:t>
      </w:r>
    </w:p>
    <w:p>
      <w:r>
        <w:t>ZH Obergericht, 2025-04-09, DE</w:t>
      </w:r>
    </w:p>
    <w:p>
      <w:r>
        <w:rPr>
          <w:b/>
        </w:rPr>
        <w:t xml:space="preserve">Quelle: </w:t>
      </w:r>
      <w:r>
        <w:t>https://mcp.opencaselaw.ch/entscheid/zh_obergericht_PS250001</w:t>
      </w:r>
    </w:p>
    <w:p>
      <w:r>
        <w:t>FR: ZH_OBERGERICHT PS250001 du 9 avril 2025</w:t>
      </w:r>
    </w:p>
    <w:p>
      <w:r>
        <w:t>IT: ZH_OBERGERICHT PS250001 del 9 aprile 2025</w:t>
      </w:r>
    </w:p>
    <w:p>
      <w:pPr>
        <w:pStyle w:val="Heading2"/>
      </w:pPr>
      <w:r>
        <w:t>Erwägungen</w:t>
      </w:r>
    </w:p>
    <w:p>
      <w:r>
        <w:rPr>
          <w:b/>
        </w:rPr>
        <w:t>E. 1</w:t>
      </w:r>
    </w:p>
    <w:p>
      <w:r>
        <w:t>Sachverhalt und Prozessgeschichte</w:t>
      </w:r>
    </w:p>
    <w:p>
      <w:r>
        <w:rPr>
          <w:b/>
        </w:rPr>
        <w:t>E. 1.1</w:t>
      </w:r>
    </w:p>
    <w:p>
      <w:r>
        <w:t>Das Nachlassgericht des Bezirksgerichts Hinwil (nachfolgend: die Vorin- stanz) gewährte der Schuldnerin B._____ AG mit Verfügung vom 30. April 2024 eine provisorische Nachlassstundung von vier Monaten und bestellte Rechtsan- wältin lic. iur. C._____ und Rechtsanwalt Dr. iur. D._____ (beide Partner bei E._____) als provisorische Sachwalter (act. 7/5). Mit Verfügung vom 23. August 2024 verlängerte die Vorinstanz die der Schuldnerin gewährte provisorische Nachlassstundung um weitere vier Monate bis 31. Dezember 2024 (act. 7/16).</w:t>
      </w:r>
    </w:p>
    <w:p>
      <w:r>
        <w:rPr>
          <w:b/>
        </w:rPr>
        <w:t>E. 1.2</w:t>
      </w:r>
    </w:p>
    <w:p>
      <w:r>
        <w:t>Die A._____ ICAV ersuchte die Vorinstanz mit Eingabe vom 19. November 2024 um Entlassung der Schuldnerin aus der provisorischen Nachlassstundung, eventualiter um Verweigerung der definitiven Nachlassstundung und subeventua- liter um Entlassung der provisorischen Sachwalter und um deren Ersatz durch ei- nen anderen (provisorischen) Sachwalter (act. 27).</w:t>
      </w:r>
    </w:p>
    <w:p>
      <w:r>
        <w:rPr>
          <w:b/>
        </w:rPr>
        <w:t>E. 1.3</w:t>
      </w:r>
    </w:p>
    <w:p>
      <w:r>
        <w:t>Mit Eingabe vom 9. Dezember 2024 ersuchte die Schuldnerin um Gewäh- rung der definitiven Nachlassstundung für die Dauer von einstweilen sechs Mona- ten, verbunden mit dem Antrag, die provisorischen Sachwalter als definitive Sach- walter zu bestellen (act. 7/32). Gleichentags reichten die provisorischen Sachwal- ter der Vorinstanz einen Bericht zu den Akten und ersuchten ebenfalls darum, es sei der Schuldnerin die definitive Nachlassstundung für einstweilen sechs Monate zu gewähren unter Bestellung der provisorischen Sachwalter als definitive Sach- walter. Im Weiteren beantragten die provisorischen Sachwalter, es sei sowohl ih- nen als auch der Schuldnerin von allfälligen Akteneinsichtsgesuchen Dritter Kenntnis zu geben und vorgängig rechtliches Gehör zu gewähren (act. 7/36).</w:t>
      </w:r>
    </w:p>
    <w:p>
      <w:r>
        <w:rPr>
          <w:b/>
        </w:rPr>
        <w:t>E. 1.4</w:t>
      </w:r>
    </w:p>
    <w:p>
      <w:r>
        <w:t>Die Vorinstanz führte – nach Vorladung der Schuldnerin und der provisori- schen Sachwalter – am 16. Dezember 2024 die Verhandlung gemäss Art. 294 Abs. 2 SchKG durch (Vi-Prot. S. 2 ff.).</w:t>
      </w:r>
    </w:p>
    <w:p>
      <w:r>
        <w:rPr>
          <w:b/>
        </w:rPr>
        <w:t>E. 1.5</w:t>
      </w:r>
    </w:p>
    <w:p>
      <w:r>
        <w:t>Am 19. Dezember 2024 erliess die Vorinstanz die folgenden Verfügungen (act. 3 = act. 6 = act. 7/52; nachfolgend zitiert als act. 6):</w:t>
      </w:r>
    </w:p>
    <w:p>
      <w:r>
        <w:t>- 3 -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