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PS240204 vom 19. Dezember 2024</w:t>
      </w:r>
    </w:p>
    <w:p>
      <w:r>
        <w:t>ZH Obergericht, 2024-12-19, DE</w:t>
      </w:r>
    </w:p>
    <w:p>
      <w:r>
        <w:rPr>
          <w:b/>
        </w:rPr>
        <w:t xml:space="preserve">Quelle: </w:t>
      </w:r>
      <w:r>
        <w:t>https://mcp.opencaselaw.ch/entscheid/zh_obergericht_PS240204</w:t>
      </w:r>
    </w:p>
    <w:p>
      <w:r>
        <w:t>FR: ZH_OBERGERICHT PS240204 du 19 décembre 2024</w:t>
      </w:r>
    </w:p>
    <w:p>
      <w:r>
        <w:t>IT: ZH_OBERGERICHT PS240204 del 19 dicembre 2024</w:t>
      </w:r>
    </w:p>
    <w:p>
      <w:pPr>
        <w:pStyle w:val="Heading2"/>
      </w:pPr>
      <w:r>
        <w:t>Erwägungen</w:t>
      </w:r>
    </w:p>
    <w:p>
      <w:r>
        <w:rPr>
          <w:b/>
        </w:rPr>
        <w:t>E. 2</w:t>
      </w:r>
    </w:p>
    <w:p>
      <w:r>
        <w:t>Parallel zum Beschwerdeverfahren gegen die Kontosperren führte die Beschwerdeführerin bei der Vorinstanz Beschwerde gegen die vom Betreibungs- amt erlassenen Pfändungsanzeigen an die Drittschuldner vom 29. August 2024. Dieses Verfahren führte die Vorinstanz unter der Verfahrensnummer CB240107. Mit Zirkulationsbeschluss vom 18. September 2024 wies die Vorinstanz die Be- schwerde ab, soweit darauf eingetreten wurde. Auch dagegen führte die Be- schwerdeführerin hierorts Beschwerde, welches Verfahren unter der Geschäfts- Nr. PS240205 geführt wird.</w:t>
      </w:r>
    </w:p>
    <w:p>
      <w:r>
        <w:rPr>
          <w:b/>
        </w:rPr>
        <w:t>E. 3</w:t>
      </w:r>
    </w:p>
    <w:p>
      <w:r>
        <w:t>Weiter führte die Beschwerdeführerin Beschwerde bei der Vorinstanz gegen die Pfändungsankündigungen vom 9. August 2024 in den Betreibun- gen Nrn. 1 und 2. Die Vorinstanz wies die Beschwerde mit Zirkulationsbeschluss</w:t>
      </w:r>
    </w:p>
    <w:p>
      <w:r>
        <w:t>- 3 - vom 18. September 2024 (Geschäfts-Nr. CB240098) ab, soweit darauf eingetre- ten wurde. Die dagegen erhobene Beschwerde bei der Kammer (Geschäfts-Nr. PS240191) wurde mit Urteil vom 29. November 2024 gutgeheissen und die Pfän- dungsankündigungen in den Betreibungen Nrn. 1 und 2 zufolge nicht rechtzeitiger Zustellung aufgehoben. Das Betreibungsamt wird diese neu zuzustellen haben. Dies ist, wie nachfolgend zu zeigen sein wird (Erw. III.3.2), für das vorliegende Verfahren nicht entscheidrelevant.</w:t>
      </w:r>
    </w:p>
    <w:p>
      <w:r>
        <w:rPr>
          <w:b/>
        </w:rPr>
        <w:t>E. 3.1</w:t>
      </w:r>
    </w:p>
    <w:p>
      <w:r>
        <w:t>Bei der Pfändung von Forderungen oder Ansprüchen, für welche nicht eine an den Inhaber oder an Order lautende Urkunde besteht, wird dem Schuld- ner des Betriebenen angezeigt, dass er rechtsgültig nur noch an das Betreibungs- amt leisten könne (Art. 99 SchKG). Diese Sicherungsmassnahme ist nach der Rechtsprechung des Bundesgerichts bei besonderer Dringlichkeit auch als vor- sorgliche Massnahme zulässig, insbesondere zur Vorbereitung der eigentlichen Pfändung und zum Schutz der Gläubigerinteressen. Diesfalls kann das Betrei- bungsamt auch schon vor der Ankündigung der Pfändung sämtliche Guthaben des betriebenen Schuldners bei Dritten sperren, indem es eine Anzeige an die be- troffenen Drittschuldner erlässt. Diese Massnahme rechtfertigt sich im Einzelfall auch, wenn sich der Schuldner stetig dem Vollzug entzieht und dadurch eine or- dentliche Pfändung für die Gläubiger nicht zeitgerecht erfolgen kann (vgl. BGE 142 III 643 E. 2.1; KuKo SchKG-Zopfi, 2. A. 2014, Art. 99 N 6).</w:t>
      </w:r>
    </w:p>
    <w:p>
      <w:r>
        <w:rPr>
          <w:b/>
        </w:rPr>
        <w:t>E. 3.2</w:t>
      </w:r>
    </w:p>
    <w:p>
      <w:r>
        <w:t>Vorliegend ergibt sich bereits aus den Ausführungen der Beschwerde- führerin und ist aus dem Parallelverfahren zwischen den Parteien bekannt und</w:t>
      </w:r>
    </w:p>
    <w:p>
      <w:r>
        <w:t>- 6 - darf berücksichtigt werden, dass die Pfändung im Zeitpunkt der Anzeigen an die Drittschuldner noch nicht vollzogen war. Bei den Kontosperren handelt es sich demzufolge um eine vorsorgliche Sicherungsmassnahme noch vor dem Pfän- dungsvollzug bzw. vor der effektiven Einvernahme der Betreibungsschuldnerin (vgl. OGer ZH PS170238 vom 13. Dezember 2017, E. 2.2.). Aus dem Parallelverfahren zwischen den Parteien ist sodann bekannt und darf im vorliegenden Verfahren berücksichtigt werden, dass die Anzeige entsprechend auch als vorsorgliche dringliche Sicherungsmassnahme bezeichnet wurde. Dass sie als solche der Be- schwerdeführerin als Betreibungsschuldnerin nicht vorgängig zugestellt wird, liegt in der Natur der Sache. Die Beschwerdeführerin ficht die vorinstanzliche Erwä- gung, dass der Beschwerdeführerin entsprechende sichernde Massnahmen be- kannt sind, nicht an. Sie stellt sodann weder die Dringlichkeit der Massnahme in Abrede noch bestreitet sie, den Pfändungsankündigungen und Vorladungen zum Pfändungsvollzug trotz Kenntnis ihrer Mitwirkungspflicht konsequent keine Folge zu leisten. Dass dadurch die Abwicklung des Betreibungsverfahrens für die Gläu- biger verzögert wird, liegt auf der Hand. Aus den zahlreichen Verfahren der letz- ten Jahre zwischen den Parteien ist bekannt und gerichtsnotorisch, dass sich die Beschwerdeführerin beharrlich dem Zugriff der Vollstreckungsbehörde entzieht. Dass es diesmal anders gewesen wäre, wenn die Pfändungsankündigungen rechtzeitig erfolgt wären, wird denn auch nicht geltend gemacht. Die vorsorglichen Kontosperren sind in der vorliegenden Konstellation nicht zu beanstanden. Nach dem Gesagten ist im Ergebnis nicht entscheidend, dass die Pfändungsankündi- gungen in den Betreibungen Nrn. 1 und 2 zufolge Mangels zu wiederholen sein werden (vgl. vorstehend Erw. I.3). Die Beschwerdeführerin wird alsdann Gelegen- heit haben, der Pfändung beizuwohnen. Die Beschwerde der Beschwerdeführerin ist abzuweisen.</w:t>
      </w:r>
    </w:p>
    <w:p>
      <w:r>
        <w:rPr>
          <w:b/>
        </w:rPr>
        <w:t>E. 4</w:t>
      </w:r>
    </w:p>
    <w:p>
      <w:r>
        <w:t>Ausführungen der Beschwerdeführerin zu anderen Verfahren (Anzeige der Pfändung an die Drittschuldner, Pfändungsankündigung, act. 9 S. 1-9) sind nicht Gegenstand der vorliegenden Beschwerde (vgl. Erw. I.2-3), weshalb darauf nicht einzugehen und auf die Beschwerde insofern nicht einzutreten ist.</w:t>
      </w:r>
    </w:p>
    <w:p>
      <w:r>
        <w:t>- 7 - IV. 1. Vor dem Hintergrund des Gesagten sind die der Beschwerdeführerin auferlegten Kosten im angefochtenen Entscheid nicht zu beanstanden. 2. Das Verfahren vor den kantonalen Aufsichtsbehörden in Schuldbetrei- bungs- und Konkurssachen ist grundsätzlich kostenlos (Art. 20a Abs. 2 Ziff. 5 SchKG und Art. 61 Abs. 2 GebV SchKG). Bei bös- oder mutwilliger Prozessfüh- rung können indes Bussen bis zu Fr. 1'500.– sowie Gebühren und Auslagen auf- erlegt werden (Art. 20a Abs. 2 Ziff. 5 SchKG). Dies ist der Beschwerdeführerin be- kannt. Der Beschwerdeführerin ist ebenfalls bekannt, dass ihr bei weiteren formell völlig unzureichenden und in der Sache unberechtigten Beschwerden Kosten auf- erlegt würden (vgl. etwa OGer ZH PS200001 vom 10. Januar 2020, E. 12; OGer ZH PS190227 vom 31. Januar 2020). Wie die vorstehenden Erwägungen zeigen, erweist sich die Beschwerde als offensichtlich unbegründet. Deshalb sind der Be- schwerdeführerin androhungsgemäss Kosten aufzuerlegen, wobei die Entscheid- gebühr für das zweitinstanzliche Beschwerdeverfahren auf Fr. 300.– festzusetzen ist. 3. Parteientschädigungen dürfen in diesem Verfahren nicht zugesprochen werden (Art. 62 Abs. 2 GebV SchKG).</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