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PS240200 vom 24. Oktober 2024</w:t>
      </w:r>
    </w:p>
    <w:p>
      <w:r>
        <w:t>ZH Obergericht, 2024-10-24, DE</w:t>
      </w:r>
    </w:p>
    <w:p>
      <w:r>
        <w:rPr>
          <w:b/>
        </w:rPr>
        <w:t xml:space="preserve">Quelle: </w:t>
      </w:r>
      <w:r>
        <w:t>https://mcp.opencaselaw.ch/entscheid/zh_obergericht_PS240200</w:t>
      </w:r>
    </w:p>
    <w:p>
      <w:r>
        <w:t>FR: ZH_OBERGERICHT PS240200 du 24 octobre 2024</w:t>
      </w:r>
    </w:p>
    <w:p>
      <w:r>
        <w:t>IT: ZH_OBERGERICHT PS240200 del 24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5. Mai 2024 reichte der Beschwerdeführer beim Betreibungsamt Walli- sellen-Dietlikon (nachfolgend: Betreibungsamt) ein Betreibungsbegehren ein (act. 5/6/1). Mit Schreiben vom 8. Mai 2024 forderte das Betreibungsamt den Be- schwerdeführer zur Leistung eines Kostenvorschusses in der Höhe von Fr. 59.– auf (act. 5/6/2 f.). Mit Eingabe vom 12. Mai 2024 (Poststempel vom 13. Mai 2024) erhob der Beschwerdeführer dagegen Beschwerde beim Bezirksgericht Bülach als untere kantonale Aufsichtsbehörde über die Betreibungsämter (nachfolgend: Vorinstanz) und ersuchte zusammengefasst um eine Reduktion des Kostenvor- schusses (act. 5/1). Mit Verfügung vom 28. Mai 2024 setzte die Vorinstanz dem Betreibungsamt Frist zur Stellungnahme an (act. 5/3). Die Stellungnahme des Be- treibungsamts datiert vom 31. Mai 2024 (act. 5/5). Mit Verfügung vom 4. Juni 2024 setzte die Vorinstanz dem Beschwerdeführer Frist zur freigestellten schriftli- chen Stellungnahme an (act. 5/7). Mit Eingabe vom 7. Juni 2024 (Poststempel 9. Juni 2024) nahm der Beschwerdeführer Stellung (act. 5/9). Am 8. Oktober 2024 erkundigte er sich telefonisch bei der Vorinstanz über den Stand des Verfahrens (act. 5/11).</w:t>
      </w:r>
    </w:p>
    <w:p>
      <w:r>
        <w:rPr>
          <w:b/>
        </w:rPr>
        <w:t>E. 2</w:t>
      </w:r>
    </w:p>
    <w:p>
      <w:r>
        <w:t>Mit Eingabe vom 9. Oktober 2024 (Poststempel vom 10. Oktober 2024) er- hob der Beschwerdeführer eine Rechtsverweigerungsbeschwerde bei der hiesi- gen Kammer als obere kantonale Aufsichtsbehörde über die Betreibungsämter (act. 2). Die vorinstanzlichen Akten wurden beigezogen (act. 5/1 – 13).</w:t>
      </w:r>
    </w:p>
    <w:p>
      <w:r>
        <w:rPr>
          <w:b/>
        </w:rPr>
        <w:t>E. 3</w:t>
      </w:r>
    </w:p>
    <w:p>
      <w:r>
        <w:t>Mit Beschluss vom 15. Oktober 2024 wies die Vorinstanz die betreibungs- rechtliche Beschwerde ab (Dispositiv-Ziff. 1), erhob keine Kosten (Dispositiv- Ziff. 2) und sprach keine Parteientschädigung zu (Dispositiv-Ziff. 3, act. 5/12 = act. 4 [Aktenexemplar] = act. 7). Mit Eingabe vom 18. Oktober 2019 (Poststempel vom 19. Oktober 2024) zog der Beschwerdeführer aufgrund des zwischenzeitlich ergangenen vorinstanzlichen Entscheids seine Beschwerde zurück (act. 6).</w:t>
      </w:r>
    </w:p>
    <w:p>
      <w:r>
        <w:rPr>
          <w:b/>
        </w:rPr>
        <w:t>E. 4</w:t>
      </w:r>
    </w:p>
    <w:p>
      <w:r>
        <w:t>Da der Beschwerdeführer seine Beschwerde zurückgezogen und sein Rück- zug die Wirkung eines rechtskräftigen Entscheids hat, ist das vorliegende Verfah- ren abzuschreiben (vgl. Art. 241 ZPO).</w:t>
      </w:r>
    </w:p>
    <w:p>
      <w:r>
        <w:t>- 3 -</w:t>
      </w:r>
    </w:p>
    <w:p>
      <w:r>
        <w:rPr>
          <w:b/>
        </w:rPr>
        <w:t>E. 5</w:t>
      </w:r>
    </w:p>
    <w:p>
      <w:r>
        <w:t>Das Verfahren vor den kantonalen Aufsichtsbehörden in Schuldbetreibungs- und Konkurssachen ist grundsätzlich kostenlos (vgl. Art. 20a Abs. 2 Ziff. 5 SchKG und Art. 61 Abs. 2 GebV SchKG). Parteienschädigungen sind keine zuzuspre- chen (vgl. 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