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PS240197 vom 25. Oktober 2024</w:t>
      </w:r>
    </w:p>
    <w:p>
      <w:r>
        <w:t>ZH Obergericht, 2024-10-25, DE</w:t>
      </w:r>
    </w:p>
    <w:p>
      <w:r>
        <w:rPr>
          <w:b/>
        </w:rPr>
        <w:t xml:space="preserve">Quelle: </w:t>
      </w:r>
      <w:r>
        <w:t>https://mcp.opencaselaw.ch/entscheid/zh_obergericht_PS240197</w:t>
      </w:r>
    </w:p>
    <w:p>
      <w:r>
        <w:t>FR: ZH_OBERGERICHT PS240197 du 25 octobre 2024</w:t>
      </w:r>
    </w:p>
    <w:p>
      <w:r>
        <w:t>IT: ZH_OBERGERICHT PS240197 del 25 ottobre 2024</w:t>
      </w:r>
    </w:p>
    <w:p>
      <w:pPr>
        <w:pStyle w:val="Heading2"/>
      </w:pPr>
      <w:r>
        <w:t>Erwägungen</w:t>
      </w:r>
    </w:p>
    <w:p>
      <w:r>
        <w:rPr>
          <w:b/>
        </w:rPr>
        <w:t>E. 1.1</w:t>
      </w:r>
    </w:p>
    <w:p>
      <w:r>
        <w:t>Die Schuldnerin und Beschwerdeführerin (nachfolgend: Schuldnerin) ist seit dem 22. April 2021 als Kollektivgesellschaft im Handelsregister des Kantons Zü- rich eingetragen. Gemäss Handelsregistereintrag bezweckt sie das Erbringen von Abschleppdienstleistungen für Fahrzeuge. Die Gesellschaft besteht aus einem Gesellschafter und einer Gesellschafterin, welche je über Einzelzeichnungsbe- rechtigung verfügen (act. 5).</w:t>
      </w:r>
    </w:p>
    <w:p>
      <w:r>
        <w:rPr>
          <w:b/>
        </w:rPr>
        <w:t>E. 1.2</w:t>
      </w:r>
    </w:p>
    <w:p>
      <w:r>
        <w:t>Mit Urteil vom 3. Oktober 2024 eröffnete das Einzelgericht des Bezirksge- richts Affoltern (nachfolgend: Vorinstanz) für eine Forderung der Gläubigerin und Beschwerdegegnerin (nachfolgend: Gläubigerin) in der Höhe von Fr. 1'184.50 zzgl. Zins zu 5% seit dem 1. Oktober 2023, zzgl. Mahnspesen von Fr. 60.– sowie Betreibungskosten von Fr. 205.60 den Konkurs über die Schuldnerin (act. 3 = act. 9 = act. 10/13). Dieser Entscheid wurde der Schuldnerin am 7. Oktober 2024 zugestellt (act. 10/18).</w:t>
      </w:r>
    </w:p>
    <w:p>
      <w:r>
        <w:rPr>
          <w:b/>
        </w:rPr>
        <w:t>E. 2.1</w:t>
      </w:r>
    </w:p>
    <w:p>
      <w:r>
        <w:t>Mit Beschwerde vom 10. Oktober 2024 (gleichentags persönlich überbracht) erhob die Schuldnerin Beschwerde bei der hiesigen Instanz und beantragte die Aufhebung des Konkurses (act. 2).</w:t>
      </w:r>
    </w:p>
    <w:p>
      <w:r>
        <w:rPr>
          <w:b/>
        </w:rPr>
        <w:t>E. 2.2</w:t>
      </w:r>
    </w:p>
    <w:p>
      <w:r>
        <w:t>Mit Verfügung vom 10. Oktober 2024 erteilte die Kammer der Beschwerde einstweilen die aufschiebende Wirkung (Dispositiv-Ziff. 1) und setzte der Schuld- nerin Frist zur Leistung eines Kostenvorschusses an (Dispositiv-Ziff. 3). Im Übri- gen wies die Kammer die Schuldnerin darauf hin, dass sie die Beschwerde bis zum Ablauf der Beschwerdefrist im Sinne der Erwägungen (Zahlungsfähigkeit) er- gänzen könne (Dispositiv-Ziff. 2, act. 7).</w:t>
      </w:r>
    </w:p>
    <w:p>
      <w:r>
        <w:rPr>
          <w:b/>
        </w:rPr>
        <w:t>E. 2.3</w:t>
      </w:r>
    </w:p>
    <w:p>
      <w:r>
        <w:t>Die vorinstanzlichen Akten wurden von Amtes wegen beigezogen (act. 10/1 – 19). Den Kostenvorschuss von Fr. 750. für das Beschwerdeverfah- ren leistete die Schuldnerin fristgerecht (act. 8/1 i.V.m. act. 11). Auf die Einholung einer Beschwerdeantwort ist zu verzichten (Art. 322 Abs. 1 ZPO). Das Verfahren</w:t>
      </w:r>
    </w:p>
    <w:p>
      <w:r>
        <w:t>- 3 - ist spruchreif. Der Gläubigerin ist mit dem vorliegenden Entscheid eine Kopie der Beschwerdeschrift zuzustellen.</w:t>
      </w:r>
    </w:p>
    <w:p>
      <w:r>
        <w:rPr>
          <w:b/>
        </w:rPr>
        <w:t>E. 3</w:t>
      </w:r>
    </w:p>
    <w:p>
      <w:r>
        <w:t>Der erstinstanzliche Entscheid über die Konkurseröffnung kann innert 10 Ta- gen nach Zustellung mit Beschwerde nach der ZPO angefochten werden (Art. 174 Abs. 1 SchKG). Fristen, die durch eine Mitteilung ausgelöst werden, beginnen am folgenden Tag zu laufen. Vorliegend begann die zehntägige Rechtsmittelfrist mit- hin am 8. Oktober 2024 (vgl. E. 1.2.) zu laufen und endete am 17. Oktober 2024. Die am 10. Oktober 2024 überbrachte Beschwerde erfolgte somit rechtzeitig. Die Schuldnerin ist zur Beschwerde legitimiert. Dem Eintreten auf die Beschwerde steht nichts entgegen.</w:t>
      </w:r>
    </w:p>
    <w:p>
      <w:r>
        <w:rPr>
          <w:b/>
        </w:rPr>
        <w:t>E. 4.1</w:t>
      </w:r>
    </w:p>
    <w:p>
      <w:r>
        <w:t>Gemäss Art. 174 Abs. 2 SchKG kann die Rechtsmittelinstanz die Konkurser- öffnung aufheben, wenn der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 2. Aufl. 2015, Art. 174 N 10; BGE 136 III 294 E. 3.2). Zu den "Kosten" gehören auch die von der Gläubigerin vorgeschossenen Kosten des erstinstanzlichen Konkursgerichts und des Konkursamts (BGer 5A_829/2014 vom 9. Februar 2015 E. 3.3; 5A_435/2013 vom 10. Juli 2013 E. 2.1; 5A_409/2013 vom 8. Juli 2013 E. 2; BGE 133 III 687 E. 2.3). Folglich müssen auch diese Kos- ten von der Schuldnerin rechtzeitig sichergestellt werden, damit der Konkursauf- hebungsgrund der Tilgung resp. Hinterlegung gegeben ist.</w:t>
      </w:r>
    </w:p>
    <w:p>
      <w:r>
        <w:rPr>
          <w:b/>
        </w:rPr>
        <w:t>E. 4.2</w:t>
      </w:r>
    </w:p>
    <w:p>
      <w:r>
        <w:t>Die Schuldnerin belegt, dass sie am 10. Oktober 2024 einen Betrag von Fr. 2'000.– bei der Obergerichtskasse hinterlegte (act. 6). Mit diesem Betrag ist die Konkursforderung einschliesslich Zins, Mahnspesen und Betreibungskosten von insgesamt Fr. 1'509.80 gedeckt (vgl. act. 9). Im Weiteren leistete die Schuld- nerin beim Konkursamt Affoltern am Albis (nachfolgend: Konkursamt) einen Kos- tenvorschuss von Fr. 1'200.. Das Konkursamt bestätigte, dass damit die Kosten</w:t>
      </w:r>
    </w:p>
    <w:p>
      <w:r>
        <w:t>- 4 - des Konkursverfahrens inklusive der Kosten des Konkursgerichts für die Konkurs- eröffnung sichergestellt sind (act. 4/4). Die Schuldnerin leistete schliesslich auch den praxisgemäss als Vorschuss für das Beschwerdeverfahren verlangten Betrag von Fr. 750. an die Obergerichtskasse (act. 11). Somit ist die erste Vorausset- zung für die Aufhebung der Konkurseröffnung, nämlich die Hinterlegung im Sinne von Art. 174 Abs. 2 SchKG, erfüllt.</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PS240008 vom 13. Februar 2024 E. 3.4.1; PS230169 vom 22. September 2023 E. 4.1; PS230093 vom 17. Juli 2023 E. 2.1; PS140068 vom 29. April 2014 E. 2.2).</w:t>
      </w:r>
    </w:p>
    <w:p>
      <w:r>
        <w:rPr>
          <w:b/>
        </w:rPr>
        <w:t>E. 5.2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w:t>
      </w:r>
    </w:p>
    <w:p>
      <w:r>
        <w:t>- 5 - berücksichtigen, gegen die Rechtsvorschlag erhoben wurde (zu den länger zu- rückliegenden vgl. OGer PS200011 vom 19. März 2020 E. 5.3.3). Die Schuldnerin ist deshalb grundsätzlich gehalten, zu jeder im Betreibungsregister nicht als erle- digt aufgeführten Forderung Stellung zu nehmen (BGer 5A_33/2021 vom 28. Sep- tember 2021 E. 3.3).</w:t>
      </w:r>
    </w:p>
    <w:p>
      <w:r>
        <w:rPr>
          <w:b/>
        </w:rPr>
        <w:t>E. 5.3</w:t>
      </w:r>
    </w:p>
    <w:p>
      <w:r>
        <w:t>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oder Pfändungs- ankündigung in Betreibungen nach Art. 43 SchKG vorhanden sind (BGer 5A_615/2020 vom 30. September 2020 E. 3.1; 5A_251/2018 vom 31. Mai 2018 E. 3.1; je m.w.H.). Ebenfalls kritisch zu beurteilen ist, wenn sich ein Betrieb da- durch über Wasser halten muss, dass er öffentlich-rechtliche Forderungen, wel- che grundsätzlich nicht zum Konkurs führen können (vgl. Art. 43 Ziff. 1 SchKG; beachte allerdings die Revision der Gesetzesbestimmung per 1. Januar 2025) vernachlässigt (OGer ZH PS200042 vom 2. März 2020 E. 4.7; PS190168 vom 15. Oktober 2019 E. 4.5; PS180135 vom 8. August 2018 E. 2.3). Hingegen ist der Massstab bei einem ersten Konkurs in der Regel ein milderer, als wenn die Schuldnerin innert vergleichsweise kurzer Zeit ein zweites Mal in Konkurs fällt (vgl. OGer ZH PS180162 vom 17. September 2018 E. 2.3).</w:t>
      </w:r>
    </w:p>
    <w:p>
      <w:r>
        <w:rPr>
          <w:b/>
        </w:rPr>
        <w:t>E. 6</w:t>
      </w:r>
    </w:p>
    <w:p>
      <w:r>
        <w:t>Die Schuldnerin macht in ihrer Eingabe geltend, aufgrund eines grossen Auftrags habe sie die vorinstanzliche Vorladung nicht gesehen und die vorinstanz- liche Verhandlung verpasst. Seit ihrer Gründung würden offene Betreibungen be- stehen, aber sie könne die Forderungen jeweils bar oder in Raten bezahlen. Auch die Konkursforderung hätte sie tilgen können, wenn sie vom vorinstanzlichen Ver- fahren gewusst hätte. Zu ihrer finanziellen Situation führt sie aus, sie erhalte mo- natlich Fr. 6'000.– von der D._____ AG. Dieser Festbetrag erfolge immer Ende Monat und ohne Verzögerung (m.V.a. act. 4/6) und vor wenigen Wochen habe</w:t>
      </w:r>
    </w:p>
    <w:p>
      <w:r>
        <w:t>- 6 - der Betrag nochmals um Fr. 1'000.– erhöht werden können. Zudem würden varia- ble Einnahmen aus Bargeschäften, Kartenzahlungen und Rechnungen bestehen (m.V.a. act. 4/7). Ihre Ausgaben seien sehr überschaubar. Aufgrund des Vertrags mit der D._____ AG würden keine Benzinkosten anfallen, da diese durch die Tankkarte der Autohilfe gedeckt seien. Die Ausgaben würden sich einzig aus ei- nem Anteil des Mietzinses für das Haus in der Höhe von Fr. 650.–, den Telefon- und Internetkosten und einem Betrag für die zur Verfügung gestellten Fahrzeuge zusammensetzen. Es folgen Ausführungen zu Arbeitstätigkeiten der Gesellschaf- terin, zum Alltag der Gesellschafter und zum Kindesunterhalt. Das Ziel sei, 2025 schuldenfrei zu sein, weshalb die vorinstanzliche Konkurseröffnung ein herber Rückschlag sei. Zum Beweis ihrer Zahlungsfähigkeit reicht die Schuldnerin zwei aktuelle, de- taillierte Betreibungsregisterauszüge von sich selbst ein (act. 4/5/1 f.) sowie von ihren Gesellschaftern (act. 4/5/4 f. sowie act. 4/5/3, act. 4/5/6). Sie reicht zudem Belege zu Zahlungen der D._____ AG aus den Jahren 2023 und 2024 (act. 4/6), zahlreiche Bankbelege zu einzelnen Transaktionen auf einem UBS Konto der Schuldnerin und zu Kartenzahlungen der Jahre 2023 und 2024 (act. 4/7) sowie eine Auflistung der monatlichen Einnahmen und Ausgaben für die Jahre 2023 und 2024 zu den Akten (act. 4/10). Sie legt zudem Kontobuchungen in Bezug auf die geltend gemachten Lohnzahlungen der E._____ an die Gesellschafterin auf ein auf sie lautendes Privatkonto bei der ZKB und bezüglich der Kindesunterhaltszah- lungen des Vaters des Kindes der Gesellschafterin auf deren ZKB-Privatkonto ins Recht (act. 4/8; act. 4/9)</w:t>
      </w:r>
    </w:p>
    <w:p>
      <w:r>
        <w:rPr>
          <w:b/>
        </w:rPr>
        <w:t>E. 7.1</w:t>
      </w:r>
    </w:p>
    <w:p>
      <w:r>
        <w:t>Wie sich den von der Schuldnerin eingereichten Betreibungsregisterauszü- gen vom 26. April 2024 entnehmen lässt, wurde sie seit ihres Bestehens bereits 22 Mal betrieben. Eine dieser Betreibungen hat die Konkursforderung zum Ge- genstand, die von der Schuldnerin vollumfänglich hinterlegt wurde (vgl. E. 4.2. oben). 16 weitere Betreibungen wurden durch Zahlung an das Betreibungsamt und eine Betreibung durch Zahlung an den Gläubiger erledigt. Damit sind noch drei Betreibungen über total Fr. 7'100.60 offen. Diese drei Betreibungen befinden</w:t>
      </w:r>
    </w:p>
    <w:p>
      <w:r>
        <w:t>- 7 - sich im Stadium der Konkursandrohung (vgl. act. 4/5/1 f.). Da die Schuldnerin mehrere Betreibungen im Stadium der Konkursandrohung hat, werden an die Glaubhaftmachung ihrer Zahlungsfähigkeit höhere Anforderungen gestellt (vgl. E. 5.3.), worauf die Schuldnerin in der Verfügung vom 10. Oktober 2024 hingewie- sen wurde (act. 7). Die Betreibungsauszüge der Gesellschafterin weisen überdies 30 Betreibungen in der Zeit von März 2021 bis Oktober 2024 und diejenigen des Gesellschafters 36 Betreibungen in den Jahren 2021 bis 2024 aus (act. 4/5/3 ff.).</w:t>
      </w:r>
    </w:p>
    <w:p>
      <w:r>
        <w:rPr>
          <w:b/>
        </w:rPr>
        <w:t>E. 7.2</w:t>
      </w:r>
    </w:p>
    <w:p>
      <w:r>
        <w:t>Die Schuldnerin unterliess es, zu den noch offenen Betreibungen eine Stel- lungnahme einzureichen. Sie legte nicht dar, inwiefern sie in der Lage sei, die sich im Stadium der Konkursandrohung befindlichen Betreibungen umgehend zu be- zahlen. Aus den von ihr eingereichten Unterlagen ergibt sich, dass die D._____ AG Zürich der Schuldnerin im Jahr 2024 monatlich einen Betrag zwischen Fr. 4'300.– und Fr. 6'500.– überwiesen hat. Eine Vereinbarung zwischen der Schuldnerin und D._____ AG wurde jedoch nicht zu den Akten gereicht. Somit ist sowohl die zukünftige Leistung dieser Zahlung als auch deren Höhe nicht näher belegt und unklar. Auch reichte die Schuldnerin keine monatlichen Kontoauszüge ein, welche eine Übersicht über ihre geschäftlichen sowie über die privaten Aus- gaben und Einnahmen ihrer Gesellschafter liefern könnten. Damit besteht über ihre Vermögenswerte Unklarheit. Die aufgelisteten Posten der monatlichen Aus- gaben und Einnahmen (vgl. act. 4/10) blieben überwiegend unbelegt und ohne nähere Erläuterungen. Debitoren- und Kreditorenlisten sowie Belege, aus denen das aktuelle Auftragsvolumen und die Geschäftstätigkeit der Schuldnerin ersicht- lich wären, wurden nicht eingereicht. Ebenso fehlen Erfolgsrechnungen und Bilan- zen der Schuldnerin, die Rückschlüsse auf ihre Liquidität ermöglichten. Mit den zwar zahlreich eingereichten, jedoch lückenhaften Unterlagen lässt sich kein nachvollziehbares Gesamtbild über die finanzielle Lage, insbesondere der Ein- nahmen und Ausgaben sowie dem Vermögen der Schuldnerin, verschaffen. Eine verlässliche Einschätzung der aktuellen und zukünftigen finanziellen Situation ist dadurch nicht möglich. Damit erscheint die Zahlungsfähigkeit der Schuldnerin nicht hinreichend glaubhaft. Die gesetzlichen Voraussetzungen für die Aufhebung der Konkurseröffnung sind somit nicht gegeben.</w:t>
      </w:r>
    </w:p>
    <w:p>
      <w:r>
        <w:t>- 8 -</w:t>
      </w:r>
    </w:p>
    <w:p>
      <w:r>
        <w:rPr>
          <w:b/>
        </w:rPr>
        <w:t>E. 7.3</w:t>
      </w:r>
    </w:p>
    <w:p>
      <w:r>
        <w:t>Nach dem Gesagten ist die Beschwerde abzuweisen. Da der Beschwerde am 10. Oktober 2024 die aufschiebende Wirkung zuerkannt wurde (act. 7), ist der Konkurs neu zu eröffnen.</w:t>
      </w:r>
    </w:p>
    <w:p>
      <w:r>
        <w:rPr>
          <w:b/>
        </w:rPr>
        <w:t>E. 8</w:t>
      </w:r>
    </w:p>
    <w:p>
      <w:r>
        <w:t>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rPr>
          <w:b/>
        </w:rPr>
        <w:t>E. 9</w:t>
      </w:r>
    </w:p>
    <w:p>
      <w:r>
        <w:t>Ausgangsgemäss sind die Kosten der Schuldnerin aufzuerlegen (Art. 106 Abs. 1 ZPO). Die Spruchgebühr ist auf Fr. 750.– festzusetzen (Art. 61 Abs. 1GebV SchKG) und aus dem geleisteten Vorschuss zu beziehen. Eine Par- teientschädigung für das Beschwerdeverfahren ist nicht zuzusprechen; der Schuldnerin nicht aufgrund ihres Unterliegens, der Gläubigerin nicht mangels Um- 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