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PS240189 vom 16. Oktober 2024</w:t>
      </w:r>
    </w:p>
    <w:p>
      <w:r>
        <w:t>ZH Obergericht, 2024-10-16, DE</w:t>
      </w:r>
    </w:p>
    <w:p>
      <w:r>
        <w:rPr>
          <w:b/>
        </w:rPr>
        <w:t xml:space="preserve">Quelle: </w:t>
      </w:r>
      <w:r>
        <w:t>https://mcp.opencaselaw.ch/entscheid/zh_obergericht_PS240189</w:t>
      </w:r>
    </w:p>
    <w:p>
      <w:r>
        <w:t>FR: ZH_OBERGERICHT PS240189 du 16 octobre 2024</w:t>
      </w:r>
    </w:p>
    <w:p>
      <w:r>
        <w:t>IT: ZH_OBERGERICHT PS240189 del 16 ottobre 2024</w:t>
      </w:r>
    </w:p>
    <w:p>
      <w:pPr>
        <w:pStyle w:val="Heading2"/>
      </w:pPr>
      <w:r>
        <w:t>Erwägungen</w:t>
      </w:r>
    </w:p>
    <w:p>
      <w:r>
        <w:rPr>
          <w:b/>
        </w:rPr>
        <w:t>E. 1</w:t>
      </w:r>
    </w:p>
    <w:p>
      <w:r>
        <w:t>Mit Urteil vom 19. September 2024 eröffnete das Konkursgericht des Be- zirksgerichts Winterthur den Konkurs über den Schuldner für eine Forderung der Gläubigerin von CHF 303.20 (einschliesslich Zinsen und bisherige Betreibungs- kosten, act. 3).</w:t>
      </w:r>
    </w:p>
    <w:p>
      <w:r>
        <w:rPr>
          <w:b/>
        </w:rPr>
        <w:t>E. 2</w:t>
      </w:r>
    </w:p>
    <w:p>
      <w:r>
        <w:t>Mit Eingabe vom 1. Oktober 2024 (Datum der Überbringung) erhob der Schuldner Beschwerde gegen das Urteil vom 19. September 2024, worin er sinn- gemäss die Aufhebung des Konkurses beantragt (act. 2). Mit Verfügung vom 1. Oktober 2024 wurde der Schuldner im Sinne der Erwägungen darauf hingewie- sen, dass er innert der noch laufenden Rechtsmittelfrist seine Beschwerde ergän- zen könne und bei Säumnis aufgrund der Akten entschieden werde (act. 8). Mit Eingabe vom 2. Oktober 2024 (Datum der Überbringung) ergänzte der Schuldner seine Beschwerde noch während laufender Rechtsmittelfrist (act. 10). Die Akten der Vorinstanz wurden beigezogen (act. 7/1-8). Das Verfahren ist spruchreif.</w:t>
      </w:r>
    </w:p>
    <w:p>
      <w:r>
        <w:rPr>
          <w:b/>
        </w:rPr>
        <w:t>E. 3</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rPr>
          <w:b/>
        </w:rPr>
        <w:t>E. 4</w:t>
      </w:r>
    </w:p>
    <w:p>
      <w:r>
        <w:t>Der Schuldner belegt, dass er am 1. Oktober 2024 den Betrag von CHF 303.20 beim Obergericht des Kantons Zürich zuhanden der Gläubigerin – und damit die gesamte Forderung – hinterlegt hat (act. 6/1). Im Weiteren hat der Schuldner beim Konkursamt Elgg zur Deckung der Kosten des Konkursgerichts und des Konkursverfahrens bis zu einer allfälligen Konkursaufhebung CHF 2'500.– sichergestellt (act. 4/1). Damit hat der Schuldner innert der Rechts- mittelfrist nachgewiesen, dass er den geschuldeten Betrag im Sinne von Art. 174 Abs. 2 Ziff. 2 SchKG hinterlegt hat.</w:t>
      </w:r>
    </w:p>
    <w:p>
      <w:r>
        <w:t>- 3 - 5.1. Da die Zahlung erst nach der Konkurseröffnung geleistet wurde, bleibt zu prüfen, ob die Zahlungsfähigkeit des Schuldners glaubhaft ist. Zahlungsfähigkeit bedeutet, dass ausreichend liquide Mittel vorhanden sind, mit denen die Gläubi- ger bei Fälligkeit ihrer Forderungen befriedigt werden können. Der Schuldner hat deshalb aufzuzeigen, dass er in der Lage ist, in näherer Zukunft seine laufenden Verbindlichkeiten nachzukommen sowie die bestehenden Schulden abzutragen. Nach Praxis der Kammer genügt es zur Annahme der Zahlungsfähigkeit, wenn glaubhaft gemacht ist, dass der Schuldner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den Schuldner so- mit noch nicht als zahlungsunfähig erscheinen. Anders verhält es sich, wenn keine Anzeichen für eine Verbesserung seiner finanziellen Lage zu erkennen sind und er auf unabsehbare Zeit hinaus als illiquid erscheint. Auch wenn der Schuld- ner die Zahlungsfähigkeit nicht strikt beweisen, sondern nur glaubhaft machen muss, so genügen seine Behauptungen allein nicht. Er muss die Angaben durch objektive Anhaltspunkte untermauern, sodass das Gericht den Eindruck erhält, diese seien zutreffend, ohne das Gegenteil ausschliessen zu müssen (BGE 132 III 715 E. 3.1.; BGE 132 III 140 E. 4.1.2.; BGer 5A_297/2012 vom 10. Juli 2012 E. 2.3.; BGer 5D_149/2023 vom 8. Dezember 2023 E. 4; OGer ZH PS230133 vom 17. August 2023 E. 4.1). Erhöhte Anforderungen an die Glaubhaftmachung sind allerdings dann zu stellen, wenn Verlustscheine vorhanden sind. Gleiches gilt, wenn andere Betreibungen vorliegen, die sich bereits im Stadium der Kon- kursandrohung befinden bzw. bei Betreibungen nach Art. 43 SchKG im Stadium der Pfändungsankündigung oder gar Pfändung (vgl. BGer 5A_251/2018 vom 31. Mai 2018 E. 3.1; BGer 5A_181/2018 vom 30. April 2018 E. 3.1; BGer 5A_470/2012 vom 19. November 2012 E. 3.3; OGer ZH PS210224 vom 28. Ja- nuar 2022 E. 4.1). Der Schuldner ist als Einzelunternehmer im Handelsregister eingetragen (act. 5). Damit haftet er als natürliche Person für alle Verbindlichkeiten mit seinem</w:t>
      </w:r>
    </w:p>
    <w:p>
      <w:r>
        <w:t>- 4 - gesamten Vermögen. Eine Trennung zwischen den geschäftlichen und privaten fi- nanziellen Verhältnissen gibt es daher nicht. Entsprechend muss die Prüfung der Zahlungsfähigkeit auch die private finanzielle Situation des Schuldners mitberück- sichtigen (insbesondere seine privaten Ausgaben in Form der Lebenshaltungs- kosten). 5.2. In Bezug auf die finanzielle Lage des Schuldners liegt ein aktueller Betrei- bungsregisterauszug vor. Daraus gehen offene Schulden von insgesamt rund CHF 146'000.– hervor, wobei gegen den Schuldner 57 Verlustscheine im Ge- samtbetrag von CHF 94'688.05 vorliegen (act. 4/2 S. 5). Darüber hinaus reicht der Schuldner lediglich ein Schreiben seiner Arbeitgeberin, der C._____ AG, eine An- zeige einer Erwerbspfändung des Betreibungsamts Elgg vom 16. Juli 2024 (samt Kontoauszüge) sowie Lohnabrechnungen ein (act. 11/1-8). Die Arbeitgeberin des Schuldners, bei der er seit Mai 2024 als Heizungs-Projektleiter tätig und deren In- haberin seine Ehefrau sei, bestätigt, dass ihm für die Abzahlung der Schulden ein Darlehen gewährt würde (act. 11/1). Genaue Details zum Darlehen – wie Höhe, Abzahlungsmodalitäten etc. – sind offen geblieben. Gemäss den eingereichten Lohnabrechnungen erzielt der Schuldner einen monatlichen Nettolohn von CHF 6'311.– (act. 11/6-8). Aus der Anzeige des Betreibungsamts Elgg geht her- vor, dass aktuell das Existenzminimum von CHF 500.– übersteigende Einkünfte gepfändet werden (act. 11/3). Der Schuldner selbst führt aus, er entrichte dem Betreibungsamt monatlich CHF 500.– (act. 10). Wie hoch die pfändbare Quote tatsächlich ist, geht auch aus dem Kontoauszug des Betreibungsamtes vom 1. Oktober 2024, wonach für den Zeitraum von April bis Juni 2024 (lediglich) Lohn von CHF 3'000.– gepfändet wurde (vgl. act. 11/5), hervor. Ferner fehlt eine Stel- lungnahme zu den noch offenen Betreibungsschulden (und allenfalls weiteren Schulden) ebenso wie Ausführungen und Belege in Bezug auf die Lebenshal- tungskosten des Schuldners (Miete, Krankenkasse und weitere monatlich anfal- lende Kosten). Schliesslich reichte der Schuldner – trotz Hinweis in der Verfügung vom 1. Oktober 2024 (vgl. act. 8 E. 3.3.) – auch keine Bank- und Steuerunterla- gen ein. Das genügt für eine Aufhebung der Konkurseröffnung nicht, insbeson- dere da gegen den Schuldner 57 Verlustscheine im Gesamtbetrag von CHF 94'688.05 vorliegen, was zu höheren Anforderungen an den Nachweis der</w:t>
      </w:r>
    </w:p>
    <w:p>
      <w:r>
        <w:t>- 5 - Zahlungsfähigkeit führt. Da die Voraussetzungen für die Aufhebung des Konkur- ses nicht erfüllt sind, ist die Beschwerde androhungsgemäss abzuweisen.</w:t>
      </w:r>
    </w:p>
    <w:p>
      <w:r>
        <w:rPr>
          <w:b/>
        </w:rPr>
        <w:t>E. 6</w:t>
      </w:r>
    </w:p>
    <w:p>
      <w:r>
        <w:t>Der Schuldner ist auf Art. 195 SchKG hinzuweisen, wonach die Möglich- keit eines nachträglichen Widerrufs des Konkurses durch das Konkursgericht be- steht, wenn nachgewiesen wird, dass sämtliche Forderungen beglichen sind oder von jedem Gläubiger eine schriftliche Erklärung über den Rückzug seiner Kon- kurseingabe vorliegt oder ein Nachlassvertrag zustande gekommen ist (dazu ins- besondere KUKO SchKG-DIGGELMANN, 2. Aufl. 2014, Art. 195 SchKG N 3 und 5).</w:t>
      </w:r>
    </w:p>
    <w:p>
      <w:r>
        <w:rPr>
          <w:b/>
        </w:rPr>
        <w:t>E. 7</w:t>
      </w:r>
    </w:p>
    <w:p>
      <w:r>
        <w:t>Ausgangsgemäss sind die Kosten des Beschwerdeverfahrens dem Schuldner aufzuerlegen (Art. 106 Abs. 1 ZPO). Die zweitinstanzliche Entscheid- gebühr ist in Anwendung von Art. 52 lit. b i.V.m. Art. 61 Abs. 1 GebV SchKG auf CHF 750.– festzusetzen. Parteientschädigungen sind keine zuzusprechen. Dem Schuldner nicht, weil er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