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PS240171 vom 21. Oktober 2024</w:t>
      </w:r>
    </w:p>
    <w:p>
      <w:r>
        <w:t>ZH Obergericht, 2024-10-21, DE</w:t>
      </w:r>
    </w:p>
    <w:p>
      <w:r>
        <w:rPr>
          <w:b/>
        </w:rPr>
        <w:t xml:space="preserve">Quelle: </w:t>
      </w:r>
      <w:r>
        <w:t>https://mcp.opencaselaw.ch/entscheid/zh_obergericht_PS240171</w:t>
      </w:r>
    </w:p>
    <w:p>
      <w:r>
        <w:t>FR: ZH_OBERGERICHT PS240171 du 21 octobre 2024</w:t>
      </w:r>
    </w:p>
    <w:p>
      <w:r>
        <w:t>IT: ZH_OBERGERICHT PS240171 del 21 ottobre 2024</w:t>
      </w:r>
    </w:p>
    <w:p>
      <w:pPr>
        <w:pStyle w:val="Heading2"/>
      </w:pPr>
      <w:r>
        <w:t>Erwägungen</w:t>
      </w:r>
    </w:p>
    <w:p>
      <w:r>
        <w:rPr>
          <w:b/>
        </w:rPr>
        <w:t>E. 1.1</w:t>
      </w:r>
    </w:p>
    <w:p>
      <w:r>
        <w:t>Am 21. Juni 2024 (Datum Poststempel) reichte der Beschwerdeführer beim Bezirksgericht Winterthur (fortan: Vorinstanz) eine Eingabe ein mit dem Titel "Be- schwerde zur Anzeige des Stadtammannamt und Betreibungsamt Winterthur-… (Beilag), berechtigt über unentdecktes Vermögen gemäss Art. 115 Abs. 3 SchKG, im Sinne des unlauteren Wettbewerbes, innert Frist" (act. 1). Dem Schreiben legte er einen Vergleich vom 24. Juni 2021 aus dem Erbteilungsverfahren betreffend den Nachlass seiner Mutter und einen Beschluss der Vorinstanz vom 28. Mai 2024 bei (act. 2).</w:t>
      </w:r>
    </w:p>
    <w:p>
      <w:r>
        <w:rPr>
          <w:b/>
        </w:rPr>
        <w:t>E. 1.2</w:t>
      </w:r>
    </w:p>
    <w:p>
      <w:r>
        <w:t>Die Vorinstanz nahm die Eingabe des Beschwerdeführers als betreibungs- rechtliche Beschwerde entgegen. Mit Präsidialverfügung vom 24. Juni 2024 setzte sie dem Betreibungsamt Winterthur-… (fortan: Betreibungsamt) Frist zur Beant- wortung der Beschwerde an (act. 3).</w:t>
      </w:r>
    </w:p>
    <w:p>
      <w:r>
        <w:rPr>
          <w:b/>
        </w:rPr>
        <w:t>E. 1.3</w:t>
      </w:r>
    </w:p>
    <w:p>
      <w:r>
        <w:t>Mit Beschwerdeantwort vom 27. Juni 2024 beantragte das Betreibungsamt die Abweisung der Beschwerde. Zur Begründung führte es aus, es könne nicht nachvollziehen, auf welches Geschäft die Beschwerde des Beschwerdeführers sich beziehe (act. 5).</w:t>
      </w:r>
    </w:p>
    <w:p>
      <w:r>
        <w:rPr>
          <w:b/>
        </w:rPr>
        <w:t>E. 1.4</w:t>
      </w:r>
    </w:p>
    <w:p>
      <w:r>
        <w:t>Mit Beschluss vom 28. August 2024 trat die Vorinstanz auf die Beschwerde nicht ein. Gerichtskosten erhob sie keine. Sie sprach auch keine Parteientschädi- gung zu. Das Gesuch des Beschwerdeführers um unentgeltliche Rechtspflege schrieb sie als gegenstandslos ab (act. 6 = act. 10 [Aktenexemplar] = act. 12 Dis- positiv-Ziff. 1-4). Der Beschluss wurde dem Beschwerdeführer am 6. September 2024 zugestellt (act. 7).</w:t>
      </w:r>
    </w:p>
    <w:p>
      <w:r>
        <w:t>- 3 -</w:t>
      </w:r>
    </w:p>
    <w:p>
      <w:r>
        <w:rPr>
          <w:b/>
        </w:rPr>
        <w:t>E. 2.1</w:t>
      </w:r>
    </w:p>
    <w:p>
      <w:r>
        <w:t>Gegen den Beschluss der Vorinstanz vom 28. August 2024 erhob der Be- schwerdeführer mit Eingabe vom 9. September 2024 rechtzeitig Beschwerde beim Obergericht des Kantons Zürich als obere kantonale Aufsichtsbehörde über Schuldbetreibung und Konkurs. In prozessualer Hinsicht beantragt er die Gewäh- rung der unentgeltlichen Rechtspflege (act. 11).</w:t>
      </w:r>
    </w:p>
    <w:p>
      <w:r>
        <w:rPr>
          <w:b/>
        </w:rPr>
        <w:t>E. 2.2</w:t>
      </w:r>
    </w:p>
    <w:p>
      <w:r>
        <w:t>Die Kammer zog die vorinstanzlichen Akten bei (act. 1-8). Weiterungen er- übrigen sich. Insbesondere kann auf die Einholung einer Beschwerdeantwort bzw. einer Vernehmlassung verzichtet werden (vgl. § 18 EG SchKG i.V.m. § 84 GOG i.V.m. Art. 322 und Art. 324 ZPO). Das Verfahren ist spruchreif.</w:t>
      </w:r>
    </w:p>
    <w:p>
      <w:r>
        <w:rPr>
          <w:b/>
        </w:rPr>
        <w:t>E. 3</w:t>
      </w:r>
    </w:p>
    <w:p>
      <w:r>
        <w:t>Gegen Verfügungen der unteren Aufsichtsbehörde kann innert 10 Tagen bei der oberen Aufsichtsbehörde (Art. 18 SchKG) Beschwerde geführt werden. Für das Beschwerdeverfahren vor der oberen Aufsichtsbehörde sind die Regelungen von Art. 319 ff. ZPO anwendbar (Art. 20a Abs. 3 SchKG i.V.m. § 18 EG SchKG i.V.m. § 84 GOG). Die Beschwerde muss einen Antrag und eine Begründung ent- halten (vgl.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der Beschwerde führenden Partei unrichtig sein soll. Die Be- schwerde führende Partei muss sich mit der Begründung des vorinstanzlichen Entscheides auseinandersetzen und die behaupteten Mängel wenigstens in gro- ben Zügen aufzeigen (vgl. statt vieler: OGer ZH PS110192 vom 21. Februar 2012 E. 5.1). Enthält eine Beschwerde keinen rechtsgenügenden Antrag oder keine hinreichende Begründung, ist auf sie nicht einzutreten (vgl. HUNGERBÜHLER/BU- CHER, DIKE-Komm-ZPO, 2. Aufl. 2016, Art. 321 N 17 i.V.m. Art. 311 N 28 und 46).</w:t>
      </w:r>
    </w:p>
    <w:p>
      <w:r>
        <w:rPr>
          <w:b/>
        </w:rPr>
        <w:t>E. 4</w:t>
      </w:r>
    </w:p>
    <w:p>
      <w:r>
        <w:t>Die Vorinstanz begründete ihren Nichteintretensentscheid im Wesentlichen damit, dass weder aus der Eingabe des Beschwerdeführers noch aus den einge- reichten Beilagen hervorgehe, gegen welche Verfügung oder behördliche Hand- lung sich die Beschwerde richte. Der Beschwerdeführer bezeichne keine Verfü- gung und lege auch keine solche bei. Ebenso wenig nenne er eine Prozessnum-</w:t>
      </w:r>
    </w:p>
    <w:p>
      <w:r>
        <w:t>- 4 - mer oder das Datum des Beschwerdeobjekts. Er stelle auch keine konkrete An- träge (act. 12 E. II.2).</w:t>
      </w:r>
    </w:p>
    <w:p>
      <w:r>
        <w:rPr>
          <w:b/>
        </w:rPr>
        <w:t>E. 5</w:t>
      </w:r>
    </w:p>
    <w:p>
      <w:r>
        <w:t>Mit seiner Beschwerde vom 8. September 2024 beantragt der Beschwerde- führer "öffentlich-rechtliche Eigentumsbeschränkungen an Grundstücken und Lie- genschaften, zeitgleich mit Tilgung aufgeschobener Grundstückgewinnsteuern, entgeltlich zu bereinigen". Aus dieser Formulierung lässt sich auch mit gutem Wil- len nicht herauslesen, was das Obergericht im Falle einer Gutheissung der Be- schwerde entscheiden soll. Aus der Beschwerde geht auch nicht hervor, an wel- chen Erwägungen der Vorinstanz sich der Beschwerdeführer stört. Seine schwer verständlichen Ausführungen weisen keinen erkennbaren Bezug zur Begründung des angefochtenen Entscheids auf. Die Beschwerde enthält somit weder einen rechtsgenüglichen Antrag noch eine hinreichende Begründung. Auf die Be- schwerde ist daher nicht einzutreten.</w:t>
      </w:r>
    </w:p>
    <w:p>
      <w:r>
        <w:rPr>
          <w:b/>
        </w:rPr>
        <w:t>E. 6</w:t>
      </w:r>
    </w:p>
    <w:p>
      <w:r>
        <w:t>Das Verfahren vor den kantonalen Aufsichtsbehörden in Schuldbetreibungs- und Konkurssachen ist grundsätzlich kostenlos (Art. 20a Abs. 2 Ziff. 5 SchKG und Art. 61 Abs. 2 GebV SchKG). Es sind auch hier keine Kosten zu erheben. Das Gesuch des Beschwerdeführers um unentgeltliche Rechtspflege für das zweitin- stanzliche Beschwerdeverfahren erweist sich deshalb als gegenstandslos und ist abzuschreiben. Parteientschädigungen dürfen in diesem Verfahren nicht zuge- 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