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PS240163 vom 4. September 2024</w:t>
      </w:r>
    </w:p>
    <w:p>
      <w:r>
        <w:t>ZH Obergericht, 2024-09-04, DE</w:t>
      </w:r>
    </w:p>
    <w:p>
      <w:r>
        <w:rPr>
          <w:b/>
        </w:rPr>
        <w:t xml:space="preserve">Quelle: </w:t>
      </w:r>
      <w:r>
        <w:t>https://mcp.opencaselaw.ch/entscheid/zh_obergericht_PS240163</w:t>
      </w:r>
    </w:p>
    <w:p>
      <w:r>
        <w:t>FR: ZH_OBERGERICHT PS240163 du 4 septembre 2024</w:t>
      </w:r>
    </w:p>
    <w:p>
      <w:r>
        <w:t>IT: ZH_OBERGERICHT PS240163 del 4 settembre 2024</w:t>
      </w:r>
    </w:p>
    <w:p>
      <w:pPr>
        <w:pStyle w:val="Heading2"/>
      </w:pPr>
      <w:r>
        <w:t>Erwägungen</w:t>
      </w:r>
    </w:p>
    <w:p>
      <w:r>
        <w:rPr>
          <w:b/>
        </w:rPr>
        <w:t>E. 1</w:t>
      </w:r>
    </w:p>
    <w:p>
      <w:r>
        <w:t>Das Konkursgericht des Bezirksgerichtes Dielsdorf eröffnete mit Urteil vom 22. August 2024 über die Beschwerdeführerin den Konkurs für eine Forderung der Beschwerdegegnerin von Fr. 474.-- nebst Zins zu 5 % seit 16. Dezem- ber 2022 zuzüglich Fr. 190.-- Verzugsschaden sowie Fr. 264.-- Betreibungskos- ten, abzüglich einer Teilzahlung in Höhe von Fr. 476.90 am 23. Januar 2024 (act. 3, act. 5/1, act. 5/3 und act. 9). Dagegen erhob die Beschwerdeführerin mit nicht unterzeichneter Eingabe vom 23. August 2024 (Datum Poststempel) bzw. verbesserter Eingabe vom 27. August 2024 (überbracht) und Nachtrag vom 28. August 2024 (Datum Poststempel) rechtzeitig Beschwerde, beantragte die Aufhebung des Konkurses und stellte sinngemäss ein Gesuch um Erteilung der aufschiebenden Wirkung (act. 2, act. 6-7 und act. 12). Zudem leistete die Be- schwerdeführerin bereits den für die Kosten des Beschwerdeverfahrens vom Obergericht üblicherweise erhobenen Vorschuss von Fr. 750.-- (act. 8). Mit Verfü- gung vom 27. August 2024 wurde der Beschwerde einstweilen die aufschiebende Wirkung zuerkannt (act. 10).</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Die Beschwerdeführerin macht geltend, die Konkursforderung einschliess- lich Zinsen und Kosten an die Gläubigerin bezahlt zu haben (act. 2 i.V.m. act. 7/3). Zum Nachweis legt sie einen Auszug der Raiffeisenbank vor, woraus</w:t>
      </w:r>
    </w:p>
    <w:p>
      <w:r>
        <w:t>- 3 - hervorgeht, dass sie der Gläubigerin am 26. August 2024 Fr. 487.70 überwiesen hat (act. 7/3). Zudem bezahlte die Beschwerdeführerin am 26. August 2024 beim Konkursamt Dielsdorf Fr. 1'200.--. Dieser Betrag reicht aus, um im Falle der Gut- heissung der Beschwerde die zu erwartenden Konkurskosten (Gebühren und Auslagen, inkl. des erstinstanzlichen Konkursgerichts) zu decken (vgl. act. 7/1). Damit hat die Beschwerdeführerin den Konkursaufhebungsgrund der Tilgung im Sinne von Art. 174 Abs. 2 Ziff. 1 SchKG durch Urkunden nachgewiesen. In die- sem Fall hat die Beschwerdeführerin überdies ihre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BGE 140 III 610 E. 4.1). Es genügt, wenn die Zahlungsfähigkeit wahrscheinlicher ist als die Zahlungsunfähigkeit. Zahlungsfähigkeit bedeutet, dass ausreichende li- quide Mittel vorhanden sind, mit denen die Gläubiger bei Fälligkeit ihrer Forderun- gen befriedigt werden können. Der Schuldner hat also aufzuzeigen, dass er in der Lage ist, seinen laufenden Verbindlichkeiten nachzukommen sowie die bestehen- den Schulden abzutragen. Grundsätzlich als zahlungsunfähig erweist sich ein Schuldner, der beispielsweise Konkursandrohungen anhäufen lässt, systematisch Rechtsvorschlag erhebt und selbst kleinere Beträge nicht bezahlt. Bloss vorüber- gehende Zahlungsschwierigkeiten lassen den Schuldner noch nicht als zahlungs- unfähig erscheinen, ausser wenn keine wesentlichen Anhaltspunkte für eine Ver- besserung seiner finanziellen Situation zu erkennen sind und er auf unabsehbare Zeit als illiquid erscheint (BGer 5A_41/2024 vom 2. Mai 2024, E. 2.2; BGer 5A_33/2021 vom 28. September 2021, E. 3; BGer 5A_251/2018 vom 31. Mai 2018, E. 3.1). 3.3. Wesentlichen Aufschluss über das Zahlungsverhalten und die finanzielle Lage eines Schuldners vermittelt insbesondere das Betreibungsregister. Der von der Beschwerdeführerin eingereichte Betreibungsregisterauszug des Betreibungs- amtes Dielsdorf-Nord (act. 7/2) weist per 26. August 2024 abzüglich der Konkurs-</w:t>
      </w:r>
    </w:p>
    <w:p>
      <w:r>
        <w:t>- 4 - forderung (im Registerauszug mit Fr. 664.-- vermerkt) eine Betreibung über Fr. 3'405.85 aus, welche sich ebenfalls im Stadium der Konkurseröffnung befin- det. Die Beschwerdeführerin weist allerdings nach, auch diese Forderung mit Va- luta vom 28. August 2024 bereits der Gläubigerin vollständig bezahlt zu haben (act. 13/1-2). Damit bestehen keine offenen, in Betreibung gesetzte Schulden mehr. Es bestehen gemäss Liste der offenen Posten per 26. August 2024 auch keinen nennenswerten Kreditorenforderungen (act. 7/10). 3.4. Die Beschwerdeführerin ist als GmbH seit dem tt.mm.2012 im Handelsregis- ter des Kantons Zürich eingetragen und bezweckt die Veredelung von Gegen- ständen, Galvanisieren von Metallen, Kunststoffen und 3D-Druckmodellen, Elo- xieren von Aluminium, Sandstrahlarbeiten. Des Weiteren werden Gegenstände verchromt, vergoldet, versilbert, vernickelt, verkupfert. Sie kann ferner alle Dienst- leistungen erbringen, welche mit der Veredelung von Gegenständen im Zusam- menhang stehen (act. 4). Die Beschwerdeführerin erwirtschaftete im Jahr 2022 bei einem Umsatz von Fr. 118'675.50 und einem Aufwand von Fr. 135'268.02 zu- zügl. Steuern einen Verlust von Fr. 17'199.27 (act. 7/4). Im Jahr 2023 erzielte die Beschwerdeführerin bei einem Umsatz von Fr. 157'771.28 und einem Aufwand von Fr. 133'003.32 zuzügl. Steuern einen Gewinn von Fr. 23'342.96 (act. 7/5). Auch im laufenden Jahr bis zum 26. August 2024 vermag die Beschwerdeführerin einen provisorischen Gewinn von Fr. 41'444.03 auszuweisen (act. 7/7). Die Be- schwerdeführerin verfügt zudem gemäss Kontoauszug der Raiffeisenbank aktuell über flüssige Mittel in Höhe von Fr. 368'317.75 (act. 7/8) sowie Debitorenforde- rungen in Höhe von Fr. 4'718.26 (act. 7/9). 3.5. Vor diesem Hintergrund erscheint hinreichend glaubhaft, dass die vorlie- gende Konkurseröffnung nicht auf eine ständige oder auch nur vorübergehende Il- liquidität der Beschwerdeführerin, sondern vielmehr auf eine administrative Nach- lässigkeit zurückzuführen ist. Jedenfalls erscheint die wirtschaftliche Lebensfähig- keit der Beschwerdeführerin wahrscheinlicher als das Gegenteil. Daher gilt die Beschwerdeführerin nach dem Gesagten zur Zeit als zahlungsfähig im Sinne von Art. 174 Abs. 2 SchKG.</w:t>
      </w:r>
    </w:p>
    <w:p>
      <w:r>
        <w:t>- 5 -</w:t>
      </w:r>
    </w:p>
    <w:p>
      <w:r>
        <w:rPr>
          <w:b/>
        </w:rPr>
        <w:t>E. 4</w:t>
      </w:r>
    </w:p>
    <w:p>
      <w:r>
        <w:t>Die Beschwerde ist gutzuheissen. Die Kosten des Konkurseröffnungs- und des Beschwerdeverfahrens wurden durch die Zahlungssäumnis der Beschwerde- führerin verursacht und sind daher ihr aufzuerlegen, obwohl der Konkurs letztlich aufgehoben werden kann. Aus dem gleichen Grund ist der Beschwerdeführerin keine Prozessentschädigung zuzusprechen und auch der Beschwerdegegnerin ist bei diesem Ausgang sowie mangels entstandener Umtriebe keine Prozessent-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