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PS240151 vom 3. Februar 2025</w:t>
      </w:r>
    </w:p>
    <w:p>
      <w:r>
        <w:t>ZH Obergericht, 2025-02-03, DE</w:t>
      </w:r>
    </w:p>
    <w:p>
      <w:r>
        <w:rPr>
          <w:b/>
        </w:rPr>
        <w:t xml:space="preserve">Quelle: </w:t>
      </w:r>
      <w:r>
        <w:t>https://mcp.opencaselaw.ch/entscheid/zh_obergericht_PS240151</w:t>
      </w:r>
    </w:p>
    <w:p>
      <w:r>
        <w:t>FR: ZH_OBERGERICHT PS240151 du 3 février 2025</w:t>
      </w:r>
    </w:p>
    <w:p>
      <w:r>
        <w:t>IT: ZH_OBERGERICHT PS240151 del 3 febbraio 2025</w:t>
      </w:r>
    </w:p>
    <w:p>
      <w:pPr>
        <w:pStyle w:val="Heading2"/>
      </w:pPr>
      <w:r>
        <w:t>Erwägungen</w:t>
      </w:r>
    </w:p>
    <w:p>
      <w:r>
        <w:rPr>
          <w:b/>
        </w:rPr>
        <w:t>E. 1</w:t>
      </w:r>
    </w:p>
    <w:p>
      <w:r>
        <w:t>ZPO; OGer ZH PS110019 vom 21. Februar 2011 E. 3.4; PS120189 vom 2. No- vember 2012 E. 1.4; PS160204 vom 16. Januar 2017 E. 4.1. f.; OGer ZH PS200096 vom 8. Juni 2020 E. 3.b.). 3.1. Beamte oder Angestellte der Betreibungs- und Konkursämter sowie die Mitglieder der Aufsichtsbehörden unterstehen einer Ausstandspflicht (vgl. Randti- tel von Art. 10 SchKG). Im Sinne einer Generalklausel bestimmt Art. 10 Abs. 1 Zif- fer 4 SchKG, dass die genannten Personen keine Amtshandlungen vornehmen dürfen in Sachen, in denen sie aus anderen – als den in Ziffer 1 bis 3 genannten – Gründen befangen sein könnten. Die Auslegung dieser Generalklausel kann sich an der Rechtsprechung zu anderen Verfahrensgesetzen des Bundes orientieren. Befangenheit ist folglich immer dann anzunehmen, wenn Umstände vorliegen, die geeignet sind, Misstrauen in die Unparteilichkeit einer der in Art. 10 SchKG er- wähnten Personen zu erwecken. Es braucht nicht nachgewiesen zu werden, dass diese tatsächlich befangen sind. Es genügt vielmehr, wenn Umstände vorliegen, die den Anschein der Befangenheit und die Gefahr der Voreingenommenheit ob-</w:t>
      </w:r>
    </w:p>
    <w:p>
      <w:r>
        <w:t>- 5 - jektiv zu begründen vermögen (BGer 5A_917/2022 vom 20. März 2023 E. 3.1. mit Verweis BGer 5A_81/2010 vom 29. April 2010 E. 5.2). 3.2. Der Grundsatz von Treu und Glauben gebietet es, Ausstandsgründe un- verzüglich nach Kenntnisnahme geltend zu machen, ansonsten diese als verwirkt gelten (statt vieler BGer 5A_917/2022 vom 20. März 2023 E. 3.2. mit weiteren Hinweisen). Gemäss bundesgerichtlicher Rechtsprechung sind Ausstandsgründe in der Regel innert etwa einer Woche geltend zu machen; ein zwei- bis dreiwöchi- ges Zuwarten ist dagegen bereits verspätet (vgl. etwa BGer 1B_217/2020 vom</w:t>
      </w:r>
    </w:p>
    <w:p>
      <w:r>
        <w:rPr>
          <w:b/>
        </w:rPr>
        <w:t>E. 1.5</w:t>
      </w:r>
    </w:p>
    <w:p>
      <w:r>
        <w:t>Jahre (betreffend die übrigen Beschwerdegegner) zurückliegen. 4.2. Wann der Beschwerdeführer von diesen Tatsachen Kenntnis erhalten hat, geht weder aus seinem Ausstandsgesuch an das Betreibungsamt noch aus sei- nen Beschwerden an die Vorinstanz resp. die Kammer hervor. Auch aus seiner Eingabe an die Kammer vom 7. Oktober 2024, in der er zur Frage der Rechtzei- tigkeit des Ausstandsgesuchs Stellung genommen hatte, geht dies nicht ausdrü- cklich hervor. Doch selbst wenn man zugunsten des Beschwerdeführers davon ausgeht, er habe von diesen Tatsachen erst im Rahmen des Akteneinsichtsrechts im November 2023 erfahren (vgl. dahingehend act. 38 Rz. 18), würde sich das erst rund vier Monate später eingereichte Ausstandsgesuch als verspätet erwei- sen. Weshalb es für den Beschwerdeführer bis im Frühling 2024 nicht möglich ge- wesen sein soll, die – seiner Ansicht nach – sorgfalts- und pflichtwidrigen Hand- lungen der Beamten resp. Hilfspersonen erkennen zu können (act. 38 Rz. 10), ist</w:t>
      </w:r>
    </w:p>
    <w:p>
      <w:r>
        <w:t>- 6 - nicht nachvollziehbar. Stützt man sich auf die Ausführungen des Beschwerdefüh- rers, so hätte gerade die "widersprüchliche", "unerklärte" und "plötzliche" Anord- nung der Zwangsverwaltung resp. Kündigung des Mietverhältnisses (act. 38 Rz. 6) dazu führen müssen, Verdacht zu erwecken. Diese Vorfälle liegen aller- dings bereits Jahre zurück. Unter diesen Umständen erscheint es im Übrigen nicht nachvollziehbar, weshalb für das Erkennen der Ausstandsgründe eine "akri- bische Datenanalyse" erforderlich gewesen sein soll, die erst ab Januar 2024 an die Hand habe genommen werden können (vgl. act. 38 Rz. 18). Was schliesslich die letzte Handlung war, die das – um es in den Worten des Beschwerdeführers zu fassen – Fass zum Überlaufen brachte (vgl. dahingehend act. 38 Rz. 5) und ihn zum Aktivwerden bewegte, lässt der Beschwerdeführer ebenfalls völlig offen. Aufgrund der Gesamtumstände erscheint der Zeitpunkt seines Ausstandsgesuchs unmotiviert und willkürlich; das Gesuch erweist sich als klar verspätet. 4.3. Auf die Ausführungen in der (persönlichen) Beschwerde des Beschwerde- führers vom 29. Juli 2024 (act. 16) braucht folglich nicht mehr eingegangen zu werden. Die Noven in der Eingabe vom 7. Oktober 2024 (act. 7 Rz. 6, 3. Spiegel- strich, Rz. 11, und Rz. 13 f.) sowie die Eingabe vom 6. November 2024 und vom</w:t>
      </w:r>
    </w:p>
    <w:p>
      <w:r>
        <w:rPr>
          <w:b/>
        </w:rPr>
        <w:t>E. 3</w:t>
      </w:r>
    </w:p>
    <w:p>
      <w:r>
        <w:t>Juli 2020 E. 3.5. mit weiteren Hinweisen; BGer 1B_597/2021, 1B_598/2021 vom 27. Oktober 2022 m.w.H.). 4.1. Wie bereits in der Verfügung der Kammer vom 3. September 2024 erwo- gen, stützte der Beschwerdeführer sein Ausstandsbegehren an das Betreibungs- amt vom 25. März 2024 mit Tatsachen, die – abgesehen vom Ausstandsgrund gegen Rechtsanwältin G._____ – aus dem Jahr 2022 stammen (vgl. act. 2/A Rz. 10 – 59). Den Ausstandsgrund gegen Rechtsanwältin G._____ stützt er auf eine E-Mail vom 16. August 2023 (act. 2/A Rzn. 51 und 59). Mit anderen Worten begründete der Beschwerdeführer sein Ausstandsbegehren mit Tatsachen, die über sieben Monate (betreffend Rechtsanwältin G._____) bzw. mindestens</w:t>
      </w:r>
    </w:p>
    <w:p>
      <w:r>
        <w:rPr>
          <w:b/>
        </w:rPr>
        <w:t>E. 8</w:t>
      </w:r>
    </w:p>
    <w:p>
      <w:r>
        <w:t>Januar 2025 (act. 40 und 42) sind nicht zu berücksichtigen (vgl. vorstehende E. 2.2. i.f.). 4.4. Die Beschwerde ist nach dem Gesagten abzuweisen. 5. Das Verfahren vor der oberen kantonalen Aufsichtsbehörde in Schuldbe- treibungs- und Konkurssachen ist kostenlos. Parteientschädigungen werden nicht zugesprochen (Art. 20a Abs. 2 Ziff. 5 SchKG; Art. 61 Abs. 2 lit. a und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