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PS240145 vom 19. August 2024</w:t>
      </w:r>
    </w:p>
    <w:p>
      <w:r>
        <w:t>ZH Obergericht, 2024-08-19, DE</w:t>
      </w:r>
    </w:p>
    <w:p>
      <w:r>
        <w:rPr>
          <w:b/>
        </w:rPr>
        <w:t xml:space="preserve">Quelle: </w:t>
      </w:r>
      <w:r>
        <w:t>https://mcp.opencaselaw.ch/entscheid/zh_obergericht_PS240145</w:t>
      </w:r>
    </w:p>
    <w:p>
      <w:r>
        <w:t>FR: ZH_OBERGERICHT PS240145 du 19 août 2024</w:t>
      </w:r>
    </w:p>
    <w:p>
      <w:r>
        <w:t>IT: ZH_OBERGERICHT PS240145 del 19 agosto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Juni 2020 E. 3.b.; OGer ZH PS230107 vom 4. August 2023 E. 2.2.). 3. Die Vorinstanz trat auf die Beschwerde zusammengefasst nicht ein, da sich diese – sofern es sich bei der angefochtenen Schuldnerauskunft überhaupt um ein zulässiges Anfechtungsobjekt handle – als offensichtlich verspätet er- weise. Sofern es sich um eine Rechtsverzögerungsbeschwerde handeln sollte, würde ein rechtlich schützenswertes Interesse fehlen, zumal weder geltend ge- macht worden noch ersichtlich sei, dass die Beschwerdeführerin das Betreibungs- amt vor Erhebung der Beschwerde aufgefordert habe, den aus ihrer Sicht falschen Protokolleintrag zu berichtigen, und/oder dass dies durch das Betreibungsamt ver- weigert oder verzögert worden wäre (act. 6 E. 3.1. und 3.2.). Der Vollständigkeit halber bestätigte die Vorinstanz – unter Verweis auf diverse Entscheide der Vorin- stanz, der Kammer und des Bundesgerichts – die Richtigkeit des aktuellen Ein- trags "V", da sich die Betreibung im Vollzug befinde (act. 6 E. 3.3.). Die Entscheidgebühr auferlegte sie der Beschwerdeführerin, da diese die Beschwerde mutwillig erhoben habe (act. 6 E. 4.2.). 4.1. In ihrer Beschwerde bringt die Beschwerdeführerin dagegen vor, sie müsse keine Frist einhalten, da das Betreibungsamt verpflichtet sei, sicherzustel- len, dass die Daten über sie richtig erfasst seien. Sie könne jederzeit geltend ma- chen, dass der Betreibungsstatus nicht korrekt sei (act. 7 Rz. 24). Die Frage der Rechtzeitigkeit der Beschwerde resp. des Rechtschutzinteresses kann allerdings offen bleiben, nachdem sich die Beschwerdeführerin in keiner Weise mit der vor- instanzlichen Erwägung auseinandersetzte, in der die Richtigkeit des aktuellen Eintrags bestätigt wird (vgl. act. 6 E. 3.3.). Damit hat es sein Bewenden. Dass die</w:t>
      </w:r>
    </w:p>
    <w:p>
      <w:r>
        <w:t>- 4 - Vorinstanz "grundlos" verweigere, die Richtigkeit der Betreibung Nr. … zu über- prüfen (vgl. act. 7 Rz. 24), trifft folglich nicht zu. 4.2. Abgesehen davon nimmt die Beschwerdeführerin in ihrer Eingabe vom 26. Juli 2024 keinen Bezug auf den vorinstanzlichen Entscheid. Sie rügt lediglich pauschal, dass: - die Vorinstanz ohne gesetzliche Grundlage handle und sich auf keine materiellrechtlichen Grundlage stütze (act. 7 Rz. 8 f. und Rz. 25), - das Handeln der Vorinstanz nicht im öffentlichen Interesse liege, nicht verhältnismässig sei und den Grundsatz von Treu und Glauben sowie das Völkerrecht missachte (act. 7 Rz. 8 f.), und - der angefochtene Entscheid "auf keine Art und Weise begründet" sei und gegen das Willkürverbot verstosse (act. 7 Rz. 15). Auf diese Rügen ist nicht weiter einzugehen. 4.3. Zusammengefasst erweist sich die Beschwerde als unbegründet, weshalb sie abzuweisen ist. 5. Wie bereits im vorinstanzlichen Verfahren (vgl. act. 6 E. 4.1. und 4.2. mit diversen Hinweisen) ist auch die vorliegende Beschwerde als mutwillig zu be- zeichnen, nachdem die Beschwerdeführerin zum wiederholten Male als Begrün- dung ihrer Beschwerde (für diesen Fall irrelevante) Textbausteine aneinander- reiht, pauschale (Nichtigkeits-)Rügen aufstellt und sich im Übrigen mit dem vorin- stanzlichen Entscheid nicht konkret oder nur in völlig ungenügender Weise aus- einandersetzt. Mit Blick darauf sind für dieses Verfahren androhungsgemäss Kos- ten zu erheben, die auf CHF 500.– festzusetzen sind. Parteientschädigungen dür- fen nicht zugesprochen werden (Art. 62 Abs. 2 GebV SchKG).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