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PS240141 vom 7. August 2024</w:t>
      </w:r>
    </w:p>
    <w:p>
      <w:r>
        <w:t>ZH Obergericht, 2024-08-07, DE</w:t>
      </w:r>
    </w:p>
    <w:p>
      <w:r>
        <w:rPr>
          <w:b/>
        </w:rPr>
        <w:t xml:space="preserve">Quelle: </w:t>
      </w:r>
      <w:r>
        <w:t>https://mcp.opencaselaw.ch/entscheid/zh_obergericht_PS240141</w:t>
      </w:r>
    </w:p>
    <w:p>
      <w:r>
        <w:t>FR: ZH_OBERGERICHT PS240141 du 7 août 2024</w:t>
      </w:r>
    </w:p>
    <w:p>
      <w:r>
        <w:t>IT: ZH_OBERGERICHT PS240141 del 7 agosto 2024</w:t>
      </w:r>
    </w:p>
    <w:p>
      <w:pPr>
        <w:pStyle w:val="Heading2"/>
      </w:pPr>
      <w:r>
        <w:t>Erwägungen</w:t>
      </w:r>
    </w:p>
    <w:p>
      <w:r>
        <w:rPr>
          <w:b/>
        </w:rPr>
        <w:t>E. 12</w:t>
      </w:r>
    </w:p>
    <w:p>
      <w:r>
        <w:t>Februar 2024 gegen gesetzliche Bestimmungen des Betreibungsverfahrens verstossen haben solle (vgl. a.a.O. S. 2 E. II./2). 1.4 Gegen diesen Beschluss erhebt der Beschwerdeführer mit Eingabe vom 20. Juli 2024 (act. 14) rechtzeitig (vgl. act. 10) Beschwerde samt Beilagen (act. 16/1-3). 1.5 Die vorinstanzlichen Akten wurden von Amtes wegen beigezogen (vgl. act. 1-11). Vom Einholen einer Beschwerdeantwort und einer Vernehmlassung kann abgesehen werden (vgl. § 18 EG SchKG i.V.m. § 84 GOG i.V.m. Art. 322 und Art. 324 ZPO).</w:t>
      </w:r>
    </w:p>
    <w:p>
      <w:r>
        <w:t>- 3 - 2.1 Für das Beschwerdeverfahren nach Art. 18 SchKG sind die Regelungen von Art. 319 ff. ZPO anwendbar (vgl. Art. 20a Abs. 3 SchKG i.V.m. § 18 EG SchKG i.V.m § 84 GOG). Wie dem Beschwerdeführer bereits bekannt ist, hat eine Be- schwerde einen Antrag und eine Begründung zu enthalten (vgl. act. 13 E. II./1 und OGer PS240114 vom 20. Juni 2014 E. 2). Bei Laien wird zwar sehr wenig ver- langt; aber als Antrag genügt eine – allenfalls in der Begründung enthaltene – Formulierung nur, wenn sich aus dieser mit gutem Willen herauslesen lässt, wie das Obergericht entscheiden soll (vgl. OGer ZH PF110034 vom 22. August 2011 E. 3.2). In der Begründung hat sich der Beschwerdeführer mit dem angefochtenen Entscheid auseinanderzusetzen und aufzuzeigen, an welchen Mängeln dieser lei- det (vgl. statt vieler: OGer ZH PS110192 vom 21. Februar 2012 E. 5.1). Enthält eine Beschwerde keinen rechtsgenügenden Antrag oder keine hinreichende Be- gründung, ist auf sie nicht einzutreten (vgl. HUNGERBÜHLER/BUCHER, DIKE-Komm- ZPO, 2. Aufl. 2016, Art. 321 N 17 i.V.m. Art. 311 N 28 und 46). 2.2 Die Beschwerdeschrift des Beschwerdeführers enthält zwar die Formulie- rung "Antrag: (…)". Aus seinen Ausführungen lässt sich jedoch weder herausle- sen, wie das Obergericht entscheiden soll, noch an welchen Mängeln der ange- fochtene Entscheid der Vorinstanz nach Ansicht des Beschwerdeführers leiden soll (vgl. act. 14). Insbesondere setzt sich der Beschwerdeführer auch mit der Er- wägung der Vorinstanz nicht auseinander, wonach ausschliesslich Gläubiger die Pfändung neu entdeckter Vermögenswerte nach Art. 115 Abs. 3 SchKG verlan- gen können. 2.3 Auf die Beschwerde des Beschwerdeführers kann deshalb nicht eingetreten werden. 3. Das Verfahren vor den kantonalen Aufsichtsbehörden in Schuldbetreibungs- und Konkurssachen ist grundsätzlich kostenlos (Art. 20a Abs. 2 Ziff. 5 SchKG und Art. 61 Abs. 2 GebV SchKG). Es sind hier keine Kosten zu erheben. Das Gesuch des Beschwerdeführers um unentgeltliche Rechtspflege für das zweitinstanzliche Beschwerdeverfahren (vgl. act. 14) ist daher gegenstandslos und abzuschreiben. Parteientschädigungen dürfen in diesem Verfahren nicht zugesprochen werden (Art. 62 Abs. 2 GebV SchKG).</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