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PS240121 vom 10. Juli 2024</w:t>
      </w:r>
    </w:p>
    <w:p>
      <w:r>
        <w:t>ZH Obergericht, 2024-07-10, DE</w:t>
      </w:r>
    </w:p>
    <w:p>
      <w:r>
        <w:rPr>
          <w:b/>
        </w:rPr>
        <w:t xml:space="preserve">Quelle: </w:t>
      </w:r>
      <w:r>
        <w:t>https://mcp.opencaselaw.ch/entscheid/zh_obergericht_PS240121</w:t>
      </w:r>
    </w:p>
    <w:p>
      <w:r>
        <w:t>FR: ZH_OBERGERICHT PS240121 du 10 juillet 2024</w:t>
      </w:r>
    </w:p>
    <w:p>
      <w:r>
        <w:t>IT: ZH_OBERGERICHT PS240121 del 10 luglio 2024</w:t>
      </w:r>
    </w:p>
    <w:p>
      <w:pPr>
        <w:pStyle w:val="Heading2"/>
      </w:pPr>
      <w:r>
        <w:t>Erwägungen</w:t>
      </w:r>
    </w:p>
    <w:p>
      <w:r>
        <w:rPr>
          <w:b/>
        </w:rPr>
        <w:t>E. 3</w:t>
      </w:r>
    </w:p>
    <w:p>
      <w:r>
        <w:t>Die Schuldnerin ist allerdings auf Art. 195 SchKG hinzuweisen, wonach die Möglichkeit eines nachträglichen Widerrufs des Konkurses durch das Kon- kursgericht besteht, wenn nachgewiesen wird, dass sämtliche Forderungen (also auch diejenigen, für welche noch keine Betreibung eingeleitet wurde) beglichen sind oder von jedem Gläubiger eine schriftliche Erklärung über den Rückzug sei- ner Konkurseingabe vorliegt oder ein Nachlassvertrag zustande gekommen ist.</w:t>
      </w:r>
    </w:p>
    <w:p>
      <w:r>
        <w:rPr>
          <w:b/>
        </w:rPr>
        <w:t>E. 4</w:t>
      </w:r>
    </w:p>
    <w:p>
      <w:r>
        <w:t>Ausgangsgemäss sind die Kosten des Beschwerdeverfahrens der Schuldnerin aufzuerlegen (Art. 106 Abs. 1 ZPO). Die zweitinstanzliche Entscheid- gebühr ist in Anwendung von Art. 52 lit. b i.V.m. Art. 61 Abs. 1 GebV SchKG auf CHF 750.– festzusetzen und mit dem Vorschuss der Schuldnerin zu verrechnen. Parteientschädigungen sind keine zuzusprechen. Der Schuldnerin nicht, weil sie unterliegt, der Gläubigerin nicht, weil ihr keine Umtriebe im Zusammenhang mit dem Beschwerdeverfahren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