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PS240118 vom 21. August 2024</w:t>
      </w:r>
    </w:p>
    <w:p>
      <w:r>
        <w:t>ZH Obergericht, 2024-08-21, DE</w:t>
      </w:r>
    </w:p>
    <w:p>
      <w:r>
        <w:rPr>
          <w:b/>
        </w:rPr>
        <w:t xml:space="preserve">Quelle: </w:t>
      </w:r>
      <w:r>
        <w:t>https://mcp.opencaselaw.ch/entscheid/zh_obergericht_PS240118</w:t>
      </w:r>
    </w:p>
    <w:p>
      <w:r>
        <w:t>FR: ZH_OBERGERICHT PS240118 du 21 août 2024</w:t>
      </w:r>
    </w:p>
    <w:p>
      <w:r>
        <w:t>IT: ZH_OBERGERICHT PS240118 del 21 agosto 2024</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Sachverhaltes geltend gemacht werden (Art. 320 ZPO). Dabei sind konkrete Beschwerdeanträge zu stellen und zu begründen. Die Beschwerde führende Partei hat sich mit der Begründung des</w:t>
      </w:r>
    </w:p>
    <w:p>
      <w:r>
        <w:t>- 3 - vorinstanzlichen Entscheides im Einzelnen auseinander zu setzen und anzuge- ben, an welchen Mängeln der angefochtene Entscheid ihrer Ansicht nach leidet (Art. 321 ZPO; vgl. im Einzelnen auch BK ZPO, STERCHI, 2012, Art. 321 N 15 ff.). Bei Parteien ohne anwaltliche Vertretung wird an diese Erfordernisse ein weniger strenger Massstab angelegt. Bei gänzlich fehlender Auseinandersetzung bzw. Be- gründung ist jedoch auf die Beschwerde ohne Weiteres nicht einzutreten (ZR 110 Nr. 80; OGer ZH PS110192 vom 21. Februar 2012 E. 5.1). Neue Anträge, neue Tatsachen und neue Beweismittel (Noven) sind im Beschwerdeverfahren ausge- schlossen (Art. 326 ZPO).</w:t>
      </w:r>
    </w:p>
    <w:p>
      <w:r>
        <w:rPr>
          <w:b/>
        </w:rPr>
        <w:t>E. 3</w:t>
      </w:r>
    </w:p>
    <w:p>
      <w:r>
        <w:t>Abgesehen von der Überschrift nimmt der Beschwerdeführer in seiner – nur äusserst schwer verständlichen und weitschweifigen – Eingabe vom 19. Juni 2024 keinen Bezug auf den vorinstanzlichen Entscheid. Er unterlässt es, sich mit den Erwägungen der Vorinstanz (insb. act. 17 E. 3) auseinanderzusetzen und aufzuzeigen, an welchen Mängeln der vorinstanzliche Entscheid leiden soll. Er macht zwar sinngemäss geltend, anlässlich der Schlichtungsverhandlung vom 27. März [2024] sei die Betreibung "eingestellt" worden (act. 18 S. 2 Mitte); dabei handelt es sich allerdings um ein unzulässiges Novum, das nicht zu berücksichti- gen ist. Im Übrigen macht der Beschwerdeführer – soweit verständlich – über weite Teile wiederum materielle Einwendungen gegen den Bestand der betriebe- nen Forderungen, mit denen er im Beschwerdeverfahren ausgeschlossen ist (vgl. bereits act. 17 E. 3 mit weiteren Hinweisen). Dies genügt den – auch unter Be- rücksichtigung der für juristische Laien herabgesetzten – Anforderungen an die Begründung einer Beschwerde nicht. Damit kommt der Beschwerdeführer seiner Begründungsobliegenheit nicht nach, und auf die Beschwerde ist entsprechend nicht einzutreten. Wie bereits die Vorinstanz korrekt festhielt, geben die Eingaben und die eingereichten Unterlagen auch keinen Anlass, von Amtes wegen einzu- schreiten.</w:t>
      </w:r>
    </w:p>
    <w:p>
      <w:r>
        <w:rPr>
          <w:b/>
        </w:rPr>
        <w:t>E. 4</w:t>
      </w:r>
    </w:p>
    <w:p>
      <w:r>
        <w:t>Das Verfahren vor der oberen kantonalen Aufsichtsbehörde in Schuldbe- treibungs- und Konkurssachen ist kostenlos. Parteientschädigungen werden nicht zugesprochen (Art. 20a Abs. 2 Ziff. 5 SchKG; Art. 61 Abs. 2 lit. a und Art. 62 Abs. 2 GebV SchKG).</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