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PS240115 vom 2. September 2024</w:t>
      </w:r>
    </w:p>
    <w:p>
      <w:r>
        <w:t>ZH Obergericht, 2024-09-02, DE</w:t>
      </w:r>
    </w:p>
    <w:p>
      <w:r>
        <w:rPr>
          <w:b/>
        </w:rPr>
        <w:t xml:space="preserve">Quelle: </w:t>
      </w:r>
      <w:r>
        <w:t>https://mcp.opencaselaw.ch/entscheid/zh_obergericht_PS240115</w:t>
      </w:r>
    </w:p>
    <w:p>
      <w:r>
        <w:t>FR: ZH_OBERGERICHT PS240115 du 2 septembre 2024</w:t>
      </w:r>
    </w:p>
    <w:p>
      <w:r>
        <w:t>IT: ZH_OBERGERICHT PS240115 del 2 settembre 2024</w:t>
      </w:r>
    </w:p>
    <w:p>
      <w:pPr>
        <w:pStyle w:val="Heading2"/>
      </w:pPr>
      <w:r>
        <w:t>Erwägungen</w:t>
      </w:r>
    </w:p>
    <w:p>
      <w:r>
        <w:rPr>
          <w:b/>
        </w:rPr>
        <w:t>E. 5</w:t>
      </w:r>
    </w:p>
    <w:p>
      <w:r>
        <w:t>April 2022, E. 6.2), erfährt die Verwertung von Gegenständen, die aufgrund des StGB oder der StPO mit Beschlag belegt sind, aufgrund des Vorbehalts von Art. 44 SchKG eine Art Privilegierung und geschieht daher nicht nach den Vor- schriften des SchKG, sondern nach den einschlägigen Bestimmungen dieser Ge- setze. Weder die Schuldbetreibungs- und Konkursämter noch die Aufsichtsbehör- den in Schuldbetreibungs- und Konkurssachen sind befugt, eine strafrechtliche oder fiskalische Beschlagnahmung einer rechtlichen Prüfung zu unterziehen. Da- von ausgenommen sind Fälle, in denen die Beschlagnahmung offensichtlich un- zulässig und damit nichtig ist. Unter dem Vorbehalt der Fälle von Nichtigkeit ha- ben die Betreibungs- und Konkursämter die Beschlagnahme somit zu respektie- ren, weshalb sie einer solchen keine eigene gegenteilige Verfügung entgegenset- zen dürfen (Art. 44 SchKG; BGE 142 III 174 E. 3.1 und 3.1.1; BGE 139 III 44 E. 3.2.2; BGE 131 III 652 E. 3.1; BGer 5A_18/2024 vom 9. April 2024 E. 2; BGer 4A_467/2018 vom 9. Mai 2019 E. 5.3; BSK SchKG I-ACOCELLA, a.a.O., Art. 44, N 7; KUKO SchKG-ROHNER, a.a.O., Art. 44, N 1).</w:t>
      </w:r>
    </w:p>
    <w:p>
      <w:r>
        <w:rPr>
          <w:b/>
        </w:rPr>
        <w:t>E. 5.1</w:t>
      </w:r>
    </w:p>
    <w:p>
      <w:r>
        <w:t>Wie bereits in früheren Verfahren vor der hiesigen Kammer thematisiert (vgl. OGer ZH PS200179 vom 21. Oktober 2020, E. 4.4 und OGer ZH PS220024 vom</w:t>
      </w:r>
    </w:p>
    <w:p>
      <w:r>
        <w:rPr>
          <w:b/>
        </w:rPr>
        <w:t>E. 5.2</w:t>
      </w:r>
    </w:p>
    <w:p>
      <w:r>
        <w:t>Aus den Akten geht hervor, dass die Staatsanwaltschaft III des Kantons Zü- rich das fragliche Grundstück mit Verfügung vom 22. Mai 2017 gestützt auf Art. 263 ff. StPO unter Mitteilung an das entsprechende Grundbuchamt mit Be- schlag belegt hat (act. 2/4). Anhaltspunkte, dass die fragliche Verfügung der Staatsanwaltschaft offensichtlich unzulässig bzw. nichtig und daher für die Zwangsvollstreckungsbehörden unwirksam wäre, bestehen nicht. Mit der Mittei- lung der betreibungsamtlichen Schätzung hat das Betreibungsamt Birmensdorf sodann keine der Grundbuchsperre zuwiderlaufende Verfügung erlassen, womit in deren Vorgehen keine Verletzung von Art. 44 SchKG erblickt werden kann. Wie zuvor ausgeführt, wurde hiermit lediglich der geschätzte Verkehrswert des fragli-</w:t>
      </w:r>
    </w:p>
    <w:p>
      <w:r>
        <w:t>- 6 - chen Grundstücks mitgeteilt, noch nicht jedoch die eigentliche Verwertung dessel- ben angekündigt oder in Gang gesetzt. Es ist daher nicht ersichtlich, weshalb das Verwertungsverfahren einstweilen nicht im zulässigen Rahmen sollte fortgesetzt werden können. Sobald die eigentliche Verwertung bevorsteht bzw. vorgängig dazu, wird der Bestand der fraglichen Grundbuchsperre respektive die Zustim- mung der entsprechenden Behörde zur Verwertung zu prüfen sein (vgl. § 29 Kan- tonale Grundbuchverordnung vom 26. März 1958; siehe auch STAIBLE/VOGT, Grundbuchsperren, ZBGR 98/2017, S. 229). Insoweit würde es auch an einem aktuellen schutzwürdigen Interesse an der Aufhebung oder Abänderung der Mit- teilung der betreibungsamtlichen Schätzung des fraglichen Grundstücks fehlen. Solange die eigentliche Verwertung des Grundstücks aufgrund einer entsprechen- den Verfügung des Betreibungsamtes nicht unmittelbar ausgelöst wird bzw. be- vorsteht, gehen die Vorbringen des Beschwerdeführers bezüglich Art. 44 SchKG unabhängig vom Bestand der Grundbuchsperre ins Leere. Auf seine Beschwerde ist folglich insofern nicht einzutreten. Wie von der Kammer bereits mehrfach fest- gehalten, ist vorliegend im Übrigen zu erwarten, dass eine Verwertung stattfinden können wird, hat sich doch die Staatsanwaltschaft III bereit erklärt, die Grund- buchsperre im Falle einer betreibungsrechtlichen Verwertung aufzuheben und stattdessen Teile des Verwertungserlöses zu beschlagnahmen, was von der Kammer als Verzicht auf den Vorrang der strafrechtlichen Verwertung gemäss Art. 44 SchKG gewürdigt wurde (OGer ZH PS200179 vom 21. Oktober 2020, E. 4.4.; OGer ZH PS220024 vom 5. April 2022, E. 6.2.).</w:t>
      </w:r>
    </w:p>
    <w:p>
      <w:r>
        <w:rPr>
          <w:b/>
        </w:rPr>
        <w:t>E. 6</w:t>
      </w:r>
    </w:p>
    <w:p>
      <w:r>
        <w:t>Das Beschwerdeverfahren vor den kantonalen Aufsichtsbehörden ist kosten- los (Art. 20a Abs. 2 Ziff. 5 SchKG; Art. 61 Abs. 2 lit. a GebV SchKG). Parteient- schädigungen werden nicht zugesprochen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