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PS240111 vom 16. Oktober 2024</w:t>
      </w:r>
    </w:p>
    <w:p>
      <w:r>
        <w:t>ZH Obergericht, 2024-10-16, DE</w:t>
      </w:r>
    </w:p>
    <w:p>
      <w:r>
        <w:rPr>
          <w:b/>
        </w:rPr>
        <w:t xml:space="preserve">Quelle: </w:t>
      </w:r>
      <w:r>
        <w:t>https://mcp.opencaselaw.ch/entscheid/zh_obergericht_PS240111</w:t>
      </w:r>
    </w:p>
    <w:p>
      <w:r>
        <w:t>FR: ZH_OBERGERICHT PS240111 du 16 octobre 2024</w:t>
      </w:r>
    </w:p>
    <w:p>
      <w:r>
        <w:t>IT: ZH_OBERGERICHT PS240111 del 16 ottobre 2024</w:t>
      </w:r>
    </w:p>
    <w:p>
      <w:pPr>
        <w:pStyle w:val="Heading2"/>
      </w:pPr>
      <w:r>
        <w:t>Erwägungen</w:t>
      </w:r>
    </w:p>
    <w:p>
      <w:r>
        <w:rPr>
          <w:b/>
        </w:rPr>
        <w:t>E. 17</w:t>
      </w:r>
    </w:p>
    <w:p>
      <w:r>
        <w:t>April 2024 wurden der Beschwerdeführerin am 26. April 2024 zugestellt (act. 2/1 – 8). 1.2. Mit Eingabe vom 6. Mai 2024 erhob die Beschwerdeführerin gegen die Zah- lungsbefehle Beschwerde beim Bezirksgericht Zürich (nachfolgend: Vorinstanz) und stellte ein Ausstandsgesuch gegen die Gerichtsbesetzung der [vorinstanzlich] erledigten Beschwerdeverfahren CB240030-L und CB240031-L (act. 1). Mit Zirku- lationsbeschluss vom 16. Mai 2024 trat die Vorinstanz auf die Ausstandsgesuche gegen Gerichtspräsidentin lic. iur. Schurr, Vizepräsident lic. iur. Dubach, Bezirks- richterin lic. iur. Canal, Ersatzrichter lic. iur. Bannwart und Gerichtsschreiberin Dr. Giger nicht ein (Dispositiv-Ziff. 1) und wies die Beschwerde ab, soweit sie dar- auf eintrat (Dispositiv-Ziff. 2). Die Entscheidgebühr setzte sie auf Fr. 300.– fest und auferlegte diese der Beschwerdeführerin (Dispositiv-Ziff. 3, act. 3 = act. 6 [Aktenexemplar] = act. 8). 1.3. Dagegen erhob die Beschwerdeführerin mit Eingabe vom 10. Juni 2024 (Postaufgabe gleichentags [vgl. act. 9]) Beschwerde bei der Kammer als obere kantonale Aufsichtsbehörde über die Betreibungsämter. Sinngemäss beantragte sie, Dispositiv-Ziffer 1 des angefochtenen Beschlusses sei aufzuheben und ihre vorinstanzlichen Ausstandsgesuche seien gutzuheissen. Dispositiv-Ziffer 2 des angefochtenen Beschlusses sei für nichtig zu erklären, evtl. aufzuheben und die Sache an die Vorinstanz zurückzuweisen. Die vorinstanzliche Entscheidgebühr sei auf null zu setzen bzw. dem Betreibungsamt bzw. der Gerichtskasse aufzuer- legen und die Betreibungen Nr. 1 und Nr. 2 seien für nichtig zu erklären, evtl. auf- zuheben; unter Kosten- und Entschädigungsfolgen zu Lasten des Beschwerde- gegners (act. 7 S. 1). 1.4. Die vorinstanzlichen Akten wurden beigezogen (act. 1 – 4). Auf die Einho- lung einer Beschwerdeantwort bzw. einer Stellungnahme kann verzichtet werden</w:t>
      </w:r>
    </w:p>
    <w:p>
      <w:r>
        <w:t>- 3 - (vgl. § 18 EG SchKG i.V.m. § 84 GOG i.V.m. Art. 322 und Art. 324 ZPO). Das Verfahren erweist sich als spruchreif. 2. 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PF120022 vom 1. Juni 2012 E. 4.1). Mit der Beschwerde kann die unrichtige Rechtsanwendung und die offensichtlich unrichtige Feststellung des Sachverhal- tes geltend gemacht werden (Art. 320 ZPO). Neue Tatsachen und Beweismittel sind im Beschwerdeverfahren ausgeschlossen (Art. 326 ZPO, vgl. OGer ZH PS110019 vom 21. Februar 2011 E. 3.4; PS180175 vom 18. Dezember 2018 E. 4.3.4; BGer 5A_605/2011 vom 8. November 2011 E. 3.2). 2.1. Die Beschwerde wurde innert der Rechtsmittelfrist (vgl. act. 4/3 i.V.m. act. 9) schriftlich und mit Anträgen versehen bei der Kammer als zuständige Rechtsmit- telinstanz eingereicht.</w:t>
      </w:r>
    </w:p>
    <w:p>
      <w:r>
        <w:t>- 4 - 2.2. Die Beschwerdeführerin macht in ihrer Rechtsmitteleingabe diverse abs- trakte rechtliche Ausführungen ohne konkreten Bezug zum vorliegenden Verfah- ren. Dies gilt für die Ausführungen zum Rechtsmittel der Beschwerde (act. 7 Rz. 1), zum Anspruch auf rechtliches Gehör (act. 7 Rz. 4 ff.), zum Legalitätsprin- zip (act. 7 Rz. 7), zu den Rechtsnormen in Bezug auf die Nichtigkeit von Verfü- gungen (act. 7 Rz. 10 f.), zur Rechtsanwendung von Amtes wegen (act. 7 Rz. 12 f., Rz. 17) sowie zur Willkür in der Rechtsanwendung (act. 7 Rz. 14, Rz. 16). Sodann wird pauschal eine erhebliche Verletzung von Art. 6 EMRK (act. 7 S. 1), unrichtige Rechtsanwendung und offensichtlich unrichtige Feststel- lung des Sachverhalts (act. 7 Rz. 2), eine Verletzung des Grundsatzes von Treu und Glauben (act. 7 Rz. 2 f., Rz. 8), eine grobe Verletzung des rechtlichen Gehörs nach Art. 29 Abs. 2 BV (act. 7 Rz. 3), eine Verletzung des Legalitätsprinzips ge- mäss Art. 5 BV (act. 7 Rz. 8 f.), Unangemessenheit (act. 7 Rz. 3), eine Verletzung des Völkerrechts (act. 7 Rz. 8) sowie eine Verletzung der Begründungspflicht und des Willkürverbots durch den Entscheid der Vorinstanz (act. 7 Rz. 2, Rz. 3, Rz. 15) gerügt. Die abstrakten rechtlichen Vorbringen und pauschalen Beanstan- dungen der Beschwerdeführerin, welche sie in keinen Zusammenhang zu den vorinstanzlichen Erwägungen resp. zum vorinstanzlichen Entscheid setzt, genü- gen den Anforderungen an die Beschwerdebegründung nicht. Sie sind daher un- beachtlich und es ist insofern auf die Beschwerde nicht einzutreten. 2.3. In ihrer Beschwerdeschrift macht die Beschwerdeführerin erstmals geltend, trotz expliziter Aufforderung und entgegen den vorinstanzlichen Erwägungen seien ihr die Betreibungsbegehren vom Betreibungsamt nicht ausgehändigt wor- den (act. 7 Rz. 19). Bei diesen Vorbringen handelt es sich um neue Tatsachenbe- hauptungen, die unberücksichtigt bleiben (vgl. Art. 326 ZPO). 2.4. Die Beschwerdeführerin bringt ferner vor, ihre Ausstandsgesuche seien be- gründet und gerechtfertigt gewesen (act. 7 Rz. 19). Mit diesem Vorbringen belässt es die Beschwerdeführerin bei pauschalen Rügen, ohne detailliert auf die einzel- nen Erwägungen der Vorinstanz einzugehen. Insbesondere setzt sie sich nicht mit den vorinstanzlichen Erwägungen auseinander, wonach die Mitwirkung an einer für sie ungünstig ausgefallenen oder gar falschen Entscheidung für sich alleine</w:t>
      </w:r>
    </w:p>
    <w:p>
      <w:r>
        <w:t>- 5 - noch keinen Ausstandsgrund bedeute, die Beschwerdeführerin keine objektiven Umstände darlege, die den Anschein einer Befangenheit zu begründen vermöch- ten und die Behauptungen absurd und haltlos seien, dass die Gerichtsbesetzung sich wegen Anstiftung und Urkundenfälschung im Amt strafbar gemacht habe (act. 6 E. 4). Die obengenannten Anforderungen an die Begründung sind folglich nicht erfüllt und auf die Beschwerde ist insofern ebenfalls nicht einzutreten. Sofern die Beschwerdeführerin sodann geltend macht, indem die Vorinstanz das Ausstandsgesuch nicht gutgeheissen habe, habe sie offensichtlich gegen sie entschieden, weshalb sie ihr gegenüber feindlich sei (act. 7 Rz. 19), ist in Über- einstimmung mit den vorinstanzlichen Erwägungen (vgl. act. 6 E. 4) festzuhalten, dass allfällige gerichtliche Verfahrensfehler und Fehlentscheide mit den dafür vor- gesehenen Rechtsmitteln zu rügen sind. Sie sind grundsätzlich nicht geeignet, zu- sätzlich den objektiven Anschein von Befangenheit zu erwecken (BGer 4A_328/2021 vom 26. Juli 2021 E. 2.3. m.w.H.). 2.5. Unter wörtlicher Wiedergabe ihrer vorinstanzlichen Beschwerdeschrift mo- niert die Beschwerdeführerin weiter, entgegen den vorinstanzlichen Erwägungen seien ihre Behauptungen, dass der Beschwerdegegner kein Betreibungsbegehren eingereicht habe, nicht pauschal (vgl. act. 7 S. 6 ff., Rz. 19). Die Beschwerdefüh- rerin übersieht, dass die Vorinstanz der Argumentation der Beschwerdeführerin nicht gefolgt ist, weil sich diese gestützt auf gerichtsnotorisches Wissen und feh- lende Anhaltspunkte als haltlos erweise. So erwog die Vorinstanz, es sei (ge- richts-)notorisch, dass ein Betreibungsamt einen Zahlungsbefehl nur gestützt auf ein gültiges Betreibungsbegehren ausstelle und im vorliegenden Fall keinerlei An- haltspunkte bestehen würden, um daran zu zweifeln, dass der Beschwerdegegner ein rechtskonformes Betreibungsbegehren eingereicht habe und gestützt darauf die Zahlungsbefehle erlassen wurden (act. 6 E. 5.2). Sofern die Beschwerdefüh- rerin vorbringt, die vorinstanzlichen Erwägungen hinsichtlich des gerichtsnotori- schen Wissens seien willkürlich bzw. pauschal (act. 7 Rz. 23), ist ihr nicht zu fol- gen. Im Übrigen wiederholt die Beschwerdeführerin die bereits vorinstanzlich vor- gebrachte Rüge, es sei kein schriftlich oder mündlich unterschriebenes Betrei- bungsbegehren beim Betreibungsamt eingegangen, obwohl der Beschwerdegeg-</w:t>
      </w:r>
    </w:p>
    <w:p>
      <w:r>
        <w:t>- 6 - ner ein solches einreichen müsse (vgl. act. 1 S. 4, act. 7 Rz. 21 sowie act. 1 S. 4, act. 7 Rz. 25). Damit sind die Anforderungen an die Begründung nicht erfüllt, wes- halb auch insoweit auf die Beschwerde nicht einzutreten ist. 2.6. Die Beschwerdeführerin bringt vor, die Vorinstanz habe sinngemäss geltend gemacht, es gäbe keine Aufsichtsbehörde für Betreibungsämter mehr. Dass ein Schuldner jedoch belehrt werde, er könne Beschwerde erheben, sei sodann will- kürlich (act. 7 Rz. 24). Die Beschwerdeführerin führt nicht aus, in welcher Erwä- gung die Vorinstanz dies ausgeführt haben soll und solches ist auch nicht ersicht- lich. Insofern erweist sich die Beschwerde als offensichtlich unbegründet. 2.7. Im Übrigen sind Nichtigkeitsgründe im Sinne von Art. 22 Abs. 1 SchKG, die ein Einschreiten von Amtes wegen gebieten würden, nicht ersichtlich. 3.1. 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werden (vgl. OGer ZH PS230147 vom 22. Januar 2024; PS210006 vom 4. Februar 2021; PS200001 vom 10. Januar 2020; PS190227 vom 31. Januar 2020). Wie die vorstehenden Erwägungen zeigen, fehlt es der Beschwerde erneut an einer Auseinandersetzung mit dem angefochtenen Entscheid, sie erweist sich als offensichtlich unbegründet und ist daher als mutwillig zu qualifizieren. Deshalb sind der Beschwerdeführerin androhungsgemäss Kosten aufzuerlegen, wobei die Entscheidgebühr für das zweitinstanzliche Beschwerdeverfahren auf Fr. 500.– festzusetzen ist. 3.2. Parteientschädigungen dürfen in diesem Verfahren nicht zugesprochen wer- den (Art. 62 Abs. 2 GebV SchKG).</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