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PS240108 vom 8. Oktober 2024</w:t>
      </w:r>
    </w:p>
    <w:p>
      <w:r>
        <w:t>ZH Obergericht, 2024-10-08, DE</w:t>
      </w:r>
    </w:p>
    <w:p>
      <w:r>
        <w:rPr>
          <w:b/>
        </w:rPr>
        <w:t xml:space="preserve">Quelle: </w:t>
      </w:r>
      <w:r>
        <w:t>https://mcp.opencaselaw.ch/entscheid/zh_obergericht_PS240108</w:t>
      </w:r>
    </w:p>
    <w:p>
      <w:r>
        <w:t>FR: ZH_OBERGERICHT PS240108 du 8 octobre 2024</w:t>
      </w:r>
    </w:p>
    <w:p>
      <w:r>
        <w:t>IT: ZH_OBERGERICHT PS240108 del 8 ottobre 2024</w:t>
      </w:r>
    </w:p>
    <w:p>
      <w:pPr>
        <w:pStyle w:val="Heading2"/>
      </w:pPr>
      <w:r>
        <w:t>Erwägungen</w:t>
      </w:r>
    </w:p>
    <w:p>
      <w:r>
        <w:rPr>
          <w:b/>
        </w:rPr>
        <w:t>E. 1</w:t>
      </w:r>
    </w:p>
    <w:p>
      <w:r>
        <w:t>Mit Eingabe vom 13. März 2024 gelangten die Beschwerdeführer 1 und</w:t>
      </w:r>
    </w:p>
    <w:p>
      <w:r>
        <w:rPr>
          <w:b/>
        </w:rPr>
        <w:t>E. 1.1</w:t>
      </w:r>
    </w:p>
    <w:p>
      <w:r>
        <w:t>Hintergrund der Beschwerde bildet unbestritten (act. 20A S. 2) das rechtskräftige Urteil des Bezirksgerichts Meilen vom 21. März 2023 (FV220021, act. 22), wonach – soweit für den vorliegenden Fall relevant – die Beschwerdefüh- rer je verpflichtet wurden, den klagenden Beschwerdegegnern Fr. 377.85 nebst Zins zu 5% seit 10. Juli 2021 zu bezahlen. Die Rechtsvorschläge in den Betrei- bungen Nrn. 2 (betreffend den Beschwerdeführer 1) und 1 (betreffend die Be- schwerdeführerin 2) wurden im genannten Umfang beseitigt. (Im Mehrbetrag wurde die Klage der Beschwerdegegner abgewiesen, soweit darauf eingetreten wurde. Die Beschwerdeführer wurden sodann verpflichtet, den Beschwerdegeg- nern die Kosten des Schlichtungsverfahrens im Umfang von Fr. 125.– zu ersetzen [act. 22 S. 20 f.]). Den Beschwerdeführern ist beizupflichten (act. 20A S. 5), dass entgegen den Ausführungen im angefochtenen Entscheid (act. 14 S. 4) nicht sie zur Leistung einer Parteientschädigung von je Fr. 825.– an die Beschwerdegeg- ner verpflichtet wurden, sondern gerade umgekehrt die Beschwerdegegner zur Leistung derselben an die Beschwerdeführer (vgl. act. 22 S. 21). Für das vorlie- gende Verfahren betreffend Betreibungskosten ist diese Verwechslung ohne Be- lang (vgl. dazu nachstehend Ziff. III.5.3). Im Juni 2023 wurde in den genannten Betreibungen das Fortsetzungsbegehren gestellt, worauf die Pfändung und Ver- wertung vollzogen wurden (vgl. act. 14 S. 4 und act. 10/23 S. 4).</w:t>
      </w:r>
    </w:p>
    <w:p>
      <w:r>
        <w:rPr>
          <w:b/>
        </w:rPr>
        <w:t>E. 1.2</w:t>
      </w:r>
    </w:p>
    <w:p>
      <w:r>
        <w:t>Gegen die Pfändung wehrten sich die Beschwerdeführer bei der Vor- instanz. Gemäss rechtskräftigem Urteil vom 15. Dezember 2023 (CB230030) er- folgte nach Stellung des Fortsetzungsbegehrens eine Teilzahlungsmeldung sei-</w:t>
      </w:r>
    </w:p>
    <w:p>
      <w:r>
        <w:t>- 6 - tens der Beschwerdegegner im Umfang von total Fr. 699.–, worauf das Betrei- bungsamt die Teilzahlung von je Fr. 349.50 von den Forderungen von je Fr. 377.85 in Abzug gebracht, den Beschwerdeführern eine provisorische Abrech- nung der noch offenen Endbeträge zugestellt und infolge deren Nichtbezahlung die Pfändung (mit Kontosperre als Sicherungsmassnahme) vollzogen hat. Auch unter Berücksichtigung der Pfändungskosten verneinte die Vorinstanz eine Über- pfändung. Die Beschwerde der Beschwerdeführer blieb erfolglos (act. 10/23 S. 7). Für die von den Beschwerdeführern behauptete vollständige Zahlung an die Be- schwerdegegner verwies die Vorinstanz auf Art. 85 f. SchKG und bemerkte, dass die Beschwerdeführer ohnehin nur Zahlungsbelege über Fr. 699.– sowie Fr. 125.– für das Schlichtungsverfahren vorgelegt hätten (vgl. act. 10/23 S. 4-6).</w:t>
      </w:r>
    </w:p>
    <w:p>
      <w:r>
        <w:rPr>
          <w:b/>
        </w:rPr>
        <w:t>E. 1.3</w:t>
      </w:r>
    </w:p>
    <w:p>
      <w:r>
        <w:t>Gegenstand der vorliegenden Beschwerde bilden die Abrechnungen des Betreibungsamtes (Verwertung mit voller Deckung) in den Betreibungen Nrn. 1 und 2 je vom 8. Februar 2024, welche sich wie folgt zusammensetzen: - Betreibung. Nr. 2 (betr. den Beschwerdeführer 1): Forderung Beschwerde- gegner Fr. 377.85, Zins Fr. 38.65, Kosten Fr. 458.90 (= BK Fr. 73.30, PK Fr. 348.00, VK Fr. 37.60), Total Fr. 875.40; abzüglich Direktzahlungen Fr. 349.50 und zzgl. Inkassokosten Fr. 5.00 = Saldo Fr. 530.90 (act. 2/4 = act. 6/1). - Betreibung. Nr. 1 (betr. die Beschwerdeführerin 2): Forderung Beschwerde- gegner Fr. 377.85, Zins Fr. 39.15, Kosten Fr. 360.00 (= BK Fr. 73.30, PK Fr. 229.10, VK Fr. 57.60), Total Fr. 777.00; abzüglich Direktzahlungen Fr. 416.50 und zzgl. Inkassokosten Fr. 5.00 = Saldo Fr. 365.50 (act. 2/4 = act. 6/2).</w:t>
      </w:r>
    </w:p>
    <w:p>
      <w:r>
        <w:rPr>
          <w:b/>
        </w:rPr>
        <w:t>E. 2</w:t>
      </w:r>
    </w:p>
    <w:p>
      <w:r>
        <w:t>Nach durchgeführtem Schriftenwechsel (vgl. act. 3-9) trat die Vorinstanz mit Beschluss vom 27. Mai 2024 auf die Beschwerde nicht ein (act. 11 = act. 14). Der Entscheid wurde den Beschwerdeführern je am 3. Juni 2024 zugestellt (act. 12/2-3).</w:t>
      </w:r>
    </w:p>
    <w:p>
      <w:r>
        <w:rPr>
          <w:b/>
        </w:rPr>
        <w:t>E. 2.1</w:t>
      </w:r>
    </w:p>
    <w:p>
      <w:r>
        <w:t>Die Beschwerdeführer machten vor Vorinstanz geltend, das Betrei- bungsamt sei zu Unrecht von einer unbezahlten Restforderung von je Fr. 28.35 ausgegangen und habe im Rahmen der Zwangsvollstreckung rechtswidrig den ur- sprünglichen Betreibungsbetrag auf Fr. 1'652.– verdoppelt, womit das Total der Kosten gemäss Abrechnungen vom 8. Februar 2024 im Verhältnis zu den ur- sprünglichen Betreibungsforderungen gemeint ist (act. 1 und act. 8).</w:t>
      </w:r>
    </w:p>
    <w:p>
      <w:r>
        <w:t>- 7 -</w:t>
      </w:r>
    </w:p>
    <w:p>
      <w:r>
        <w:rPr>
          <w:b/>
        </w:rPr>
        <w:t>E. 2.2</w:t>
      </w:r>
    </w:p>
    <w:p>
      <w:r>
        <w:t>Die Vorinstanz trat auf die Beschwerde der Beschwerdeführer nicht ein. Sie erwog, gemäss Betreibungsamt seien den Beschwerdeführern die Ab- rechnungen vom 8. Februar 2024 uneingeschrieben zur Kenntnis gebracht wor- den, was impliziere, dass der Zeitpunkt der Zustellung nicht nachgewiesen wer- den könne. In ihrer Stellungnahme vom 28. April 2024 hätten die Beschwerdefüh- rer indes ausgeführt, die Abrechnungen bereits am 12. Februar 2024 beim Betrei- bungsamt beanstandet zu haben. Aus der hiefür eingereichten E-Mail Korrespon- denz mit dem Betreibungsamt ergebe sich, dass sich der Beschwerdeführer 1 am</w:t>
      </w:r>
    </w:p>
    <w:p>
      <w:r>
        <w:rPr>
          <w:b/>
        </w:rPr>
        <w:t>E. 3</w:t>
      </w:r>
    </w:p>
    <w:p>
      <w:r>
        <w:t>Dagegen erhoben die Beschwerdeführer 1 und 2 mit Eingabe vom</w:t>
      </w:r>
    </w:p>
    <w:p>
      <w:r>
        <w:rPr>
          <w:b/>
        </w:rPr>
        <w:t>E. 7</w:t>
      </w:r>
    </w:p>
    <w:p>
      <w:r>
        <w:t>Juni 2024 (Poststempel) rechtzeitig Beschwerde bei der Kammer als obere kantonale Aufsichtsbehörde über die Betreibungsämter (act. 15 inkl. Beilagen act. 16/1-7). Sie beantragen die Aufhebung des angefochtenen Entscheids und die Korrektur der falschen Abrechnung bzw. der "Verdoppelung des Betreibungs- betrags" (act. 15 S. 9). 4. Da die Eingabe nicht mit der Originalunterschrift versehen war und da- mit den formellen Anforderungen gemäss Art. 130 Abs. 1 ZPO nicht genügte, wurde den Beschwerdeführern 1 und 2 mit Verfügung vom 17. Juni 2024 eine Nachfrist zur Verbesserung im Sinne von Art. 132 ZPO angesetzt (act. 17). Dieser Aufforderung kam der Beschwerdeführer 1 rechtzeitig nach (act. 18/1 und act. 20A). Mit Eingabe vom 21. Juni 2024 führte er aus, dass seine Ehefrau, die Beschwerdeführerin 2, auf Geschäftsreise in Asien sei und die Beschwerde daher nicht im Original unterzeichnen könne, weshalb er das zweite Exemplar der Be- schwerdeschrift in deren Vertretung unterzeichnet habe (act. 19 und act. 20B). Mit</w:t>
      </w:r>
    </w:p>
    <w:p>
      <w:r>
        <w:t>- 4 - Blick auf das Ergebnis kann trotz dieses teilweise weiterhin bestehenden Mangels auf Weiterungen verzichtet werden. 5. Die vorinstanzlichen Akten wurden von Amtes wegen beigezogen (vgl. act. 1-12). Ebenso der den Parteien bekannte und von den Beschwerdefüh- rern zitierte Entscheid des Bezirksgerichtes Meilen vom 21. März 2023 (FV220021, act. 22). Von der Einholung einer Beschwerdeantwort und einer Ver- nehmlassung kann abgesehen werden (Art. 20a Abs. 3 SchKG i.V.m. § 83 f. GOG und Art. 322 Abs. 1 sowie 324 ZPO). Das Verfahren ist spruchreif. Den Beschwer- degegnern ist mit dem vorliegenden Entscheid eine Kopie von act. 20A zuzustel- len. II.</w:t>
      </w:r>
    </w:p>
    <w:p>
      <w:r>
        <w:rPr>
          <w:b/>
        </w:rPr>
        <w:t>E. 12</w:t>
      </w:r>
    </w:p>
    <w:p>
      <w:r>
        <w:t>Februar 2024 beim Betreibungsamt eingehalten worden (act. 20A S. 1 f., 6 ff.). 5.1 Eine Verfügung i.S.v. Art. 17 SchKG ist jede auf den Fortgang oder Ab- schluss des Zwangsvollstreckungsverfahrens gerichtete amtliche Handlung eines ordentlichen oder ausserordentlichen Betreibungs- und Konkursorgans sowie ih- rer Hilfspersonen. Potentiell anfechtbare Handlungen liegen immer dann vor, wenn sie die Gläubiger einen Schritt näher zu ihrem Ziel bringen, nämlich die Ver- wertung von schuldnerischen Vermögenswerten. Anfechtbare Handlungen kön- nen, müssen aber nicht als Verfügungen bezeichnet sein (KuKo SchKG- Dieth/Wohl, 2. Aufl. 2014, N 3 zu Art. 17 SchKG). Ob eine Verfügung vorliegt, ent- scheidet sich nach ihrem Gehalt, nicht nach ihrem Wortlaut oder Erscheinungsbild (Kostkiewicz, OFK-SchKG, 20. Aufl. 2020, N 8 zu Art. 17 SchKG m.w.H.). Nicht entscheidend ist, ob diese mit einer Rechtsmittelbelehrung versehen ist oder nicht. Gemäss Art. 20a Abs. 2 Ziff. 4 SchKG obliegt eine solche Pflicht den „kan- tonalen Aufsichtsbehörden“ und nicht dem Betreibungs- oder Konkursamt (vgl. BGer 5A_934/2012 vom 12. März 2013, E. 3.1 m.w.H.). 5.2 Die Abrechnungen des Betreibungsamtes je vom 8. Februar 2024 im Rahmen der Verwertung mit voller Deckung stellten in Anbetracht der vorstehend genannten Grundsätze beschwerdefähige Verfügungen dar (vgl. auch BGer 5A_920/2017 vom 4. April 2018, E. 3.2). Unerheblich ist, dass sie keine Rechts- mittelbelehrung enthielten. Unbestritten ist, dass die Beschwerdeführer spätes- tens am 12. Februar 2024 Kenntnis von den vorerwähnten Abrechnungen und de-</w:t>
      </w:r>
    </w:p>
    <w:p>
      <w:r>
        <w:t>- 9 - ren Inhalt erlangt hatten. Sie wandten sich am 12. Februar 2024 per E-Mail an das Betreibungsamt und wurden von diesem in der Antwort-Mail vom 13. Februar 2024 ausdrücklich darauf hingewiesen, dass sie sich an das Bezirksgericht zu wenden hätten, sofern sie mit den Abrechnungen nicht einverstanden seien (act. 9/2). Auch war den Beschwerdeführern aus früheren Verfahren die Frist ge- gen zu beanstandende Handlungen des Betreibungsamtes bekannt. Sie wussten namentlich aus dem Verfahren CB230030, dass Handlungen bzw. Verfügungen der Betreibungsämter innerhalb von zehn Tagen beim Bezirksgericht als untere kantonale Aufsichtsbehörde über die Betreibungsämter anzufechten sind, zumal gerade die verspätet erfolgte Anfechtung Verfahrensthema war (vgl. act. 10/23 S. 5). Mit der Anfechtung haben die Beschwerdeführer jedoch noch einen ganzen Monat seit Kenntnisnahme der Abrechnungen und des entsprechenden Hinwei- ses des Betreibungsamtes zugewartet. Der Vorinstanz ist beizupflichten, dass die erst am 13. März 2024 erhobene Beschwerde verspätet erfolgte, weshalb zu Recht nicht darauf eingetreten wurde. Die Beschwerdeführer bringen im Rechts- mittelverfahren nichts vor, was eine andere Beurteilung nahe legen würde. Dass ein Verstoss gegen Art. 22 SchKG vorliegt, ist nicht ersichtlich. Die Beschwerde ist somit abzuweisen. 5.3 Da sich die Vorinstanz primär zur Zulässigkeit der Beschwerde geäus- sert hat und auf diese nicht eingetreten ist, hatte sie diese entgegen den Be- schwerdeführern (act. 20A S. 1 und 6 f.) nicht materiell zu beurteilen. Daran än- dert nichts, dass die Vorinstanz lediglich im Rahmen der Eventualbegründung er- wog, dass die Beschwerdeführer keine konkreten Beanstandungen zu den Betrei- bungskosten in Höhe von Fr. 458.90 (Betreibung Nr. 2) bzw. von Fr. 360.– (Be- treibung Nr. 1), welche sich aus dem Kostenblatt des Betreibungsamtes ergäben, vorgebracht hätten und auch nicht ersichtlich sei, dass diese nicht gesetzeskon- form wären, weshalb der Beschwerde, selbst wenn auf diese einzutreten wäre, kein Erfolg beschieden wäre (act. 14 S. 7). Die Beschwerdeführer machen hiezu unsubstantiiert und lediglich pauschal geltend, dass Kosten, welche den Betrei- bungsbetrag übersteigen bzw. diesen im Ergebnis verdoppeln, falsch seien (act. 20A S. 8). Dass die den Kosten zugrundeliegenden Betreibungshandlungen ge- mäss Kostenblättern des Betreibungsamtes (act. 6/3-4) nicht stattgefunden hätten</w:t>
      </w:r>
    </w:p>
    <w:p>
      <w:r>
        <w:t>- 10 - und/oder die jeweiligen Kosten nicht korrekt wären, wird nicht geltend gemacht. Der Beschwerde wäre somit auch in diesem Punkt kein Erfolg beschieden. 6. Lediglich der Vollständigkeit halber sind die Beschwerdeführer auf fol- gendes hinzuweisen: Erfolgt die Zahlung der Betreibungsforderung an das Betrei- bungsamt, geht die Schuld unter (Art. 12 Abs. 2 SchKG) und ist es Sache des Be- treibungsamtes bzw. u.U. der Aufsichtsbehörde dafür zu sorgen, dass die Betrei- bung hinsichtlich des bezahlten Betrages nicht weitergeht. Zahlt der Betriebene hingegen – wie im vorliegenden Fall – direkt an den Gläubiger, wird das Vollstreckungsverfahren nicht gestoppt und kann vom Gläubi- ger weitergeführt werden, selbst wenn der Schuldner den Gläubiger inzwischen durch Zahlung vollständig befriedigt und dem Betreibungsamt die Quittungen vor- gelegt hat. Denn ohne entsprechende Mitteilung seitens des Gläubigers über die vollständige Tilgung ist das Betreibungsamt nicht befugt, das Vollstreckungsver- fahren einzustellen oder aufzuheben. Zeigt der Gläubiger – wie im vorliegenden Fall – die an ihn geleistete (Teil-)Zahlung dem Betreibungsamt an, ist dies als Verzicht auf die Weiterführung des Vollstreckungsverfahrens im Umfang der Zah- lung anzusehen. Führt der Gläubiger das Vollstreckungsverfahren für den Restbe- trag fort und ist der Schuldner der Ansicht, durch Zahlung an den Gläubiger die- sen vollständig befriedigt zu haben, obliegt die Beurteilung der Tilgung aussch- liesslich dem Richter, d.h. der Schuldner ist auf das gerichtliche Klageverfahren gemäss Art. 85 - 86 SchKG angewiesen. Im Beschwerdeverfahren vor der Auf- sichtsbehörde kann der Einwand der erfolgten Zahlung diesfalls nicht geltend ge- macht werden (vgl. KuKo SchKG-Möckli, 2. Aufl. 2014, N 3 und 7 zu Art. 12 SchKG; BSK SchKG I-Emmel, 3. Aufl. 2021, N 22 zu Art. 12 SchKG; BSK SchKG I-Bangert, 3. Aufl. 2021, N 17 zu Art. 85 SchKG; BSK SchKG I-Sievi, 3. Aufl. 2021, N 32 zu Art. 88 SchKG). 7. Vor dem Hintergrund des Gesagten ist die Beschwerde abzuweisen.</w:t>
      </w:r>
    </w:p>
    <w:p>
      <w:r>
        <w:t>- 11 - IV. Für das Verfahren vor der oberen kantonalen Aufsichtsbehörde in Schuldbe- treibungs- und Konkurssachen sind in Anwendung von Art. 20a Abs. 2 Ziff. 5 SchKG keine Kosten zu erheben und sind gemäss Art. 62 Abs. 2 GebV SchKG keine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