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PS240053 vom 23. April 2024</w:t>
      </w:r>
    </w:p>
    <w:p>
      <w:r>
        <w:t>ZH Obergericht, 2024-04-23, DE</w:t>
      </w:r>
    </w:p>
    <w:p>
      <w:r>
        <w:rPr>
          <w:b/>
        </w:rPr>
        <w:t xml:space="preserve">Quelle: </w:t>
      </w:r>
      <w:r>
        <w:t>https://mcp.opencaselaw.ch/entscheid/zh_obergericht_PS240053</w:t>
      </w:r>
    </w:p>
    <w:p>
      <w:r>
        <w:t>FR: ZH_OBERGERICHT PS240053 du 23 avril 2024</w:t>
      </w:r>
    </w:p>
    <w:p>
      <w:r>
        <w:t>IT: ZH_OBERGERICHT PS240053 del 23 aprile 2024</w:t>
      </w:r>
    </w:p>
    <w:p>
      <w:pPr>
        <w:pStyle w:val="Heading2"/>
      </w:pPr>
      <w:r>
        <w:t>Erwägungen</w:t>
      </w:r>
    </w:p>
    <w:p>
      <w:r>
        <w:rPr>
          <w:b/>
        </w:rPr>
        <w:t>E. 1</w:t>
      </w:r>
    </w:p>
    <w:p>
      <w:r>
        <w:t>Die Beschwerdeführerin gelangte am 13. März 2024 an das Bezirksgericht Zürich, 1. Abteilung, als untere kantonale Aufsichtsbehörde über Betreibungsäm- ter und ersuchte sinngemäss um Feststellung der Nichtigkeit der gegen sie von der Beschwerdegegnerin eingeleiteten Betreibung Nr. 1 des Betreibungsamtes Zürich 11 (act. 1). Das Bezirksgericht wies die Beschwerde der Beschwerdeführe- rin mit Beschluss vom 15. März 2024 ab (act. = act. 6). Gegen diesen Entscheid erhob die Beschwerdeführerin mit Eingabe vom 22. März 2024 rechtzeitig Be- schwerde an die Kammer als obere kantonale Aufsichtsbehörde über Schuldbe- treibung und Konkurs (act. 7). Auf das Einholen einer Beschwerdeantwort wurde verzichtet (Art. 322 ZPO). Die Sache erweist sich als spruchreif.</w:t>
      </w:r>
    </w:p>
    <w:p>
      <w:r>
        <w:rPr>
          <w:b/>
        </w:rPr>
        <w:t>E. 2</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begründet und mit Rechtsmittelanträgen versehen einzureichen (Art. 321 Abs. 1 ZPO). Bei Rechtsmitteleingaben von Laien genügt als Antrag eine Formu- lierung, aus der sich mit gutem Willen herauslesen lässt, wie das Obergericht ent- scheiden soll. Als Begründung reicht es aus, wenn auch nur ganz rudimentär zum Ausdruck kommt, weshalb der angefochtene Entscheid nach Auffassung der Be- schwerde führenden Partei unrichtig sein soll. Die Beschwerde führende Partei muss sich mit der Begründung des vorinstanzlichen Entscheides auseinanderset- zen und die behaupteten Mängel wenigstens in groben Zügen aufzeigen. Sind auch diese Voraussetzungen nicht gegeben, wird auf eine Beschwerde nicht ein- getreten (vgl. statt vieler: OGer ZH PF130050 vom 25. Oktober 2013, E. II./2.1).</w:t>
      </w:r>
    </w:p>
    <w:p>
      <w:r>
        <w:t>- 3 -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 3.4).</w:t>
      </w:r>
    </w:p>
    <w:p>
      <w:r>
        <w:rPr>
          <w:b/>
        </w:rPr>
        <w:t>E. 3</w:t>
      </w:r>
    </w:p>
    <w:p>
      <w:r>
        <w:t>Die Beschwerde der Beschwerdeführerin vom 22. März 2024 wurde innert der Rechtsmittelfrist schriftlich eingereicht. Darin führt die Beschwerdeführerin aus, sie habe für die der Betreibung zugrunde liegende Forderung für Nebenkos- ten, Reinigungs- und Malerarbeiten nie einen Auftrag gegeben oder ihre Zustim- mung dazu erteilt und auch keine Rechnung dafür erhalten. Mit dieser Betreibung zehn Monate nach ihrem Auszug wolle ihre ehemalige Vermieterin (Beschwerde- gegnerin) Zahlungen erzwingen, welche nicht geschuldet seien. Deshalb bean- trage sie die Löschung der Betreibung (act. 7). Daraus kann sinngemäss ein An- trag auf Aufhebung des angefochtenen Entscheides und Gutheissung des bei der Vorinstanz gestellten Antrages abgeleitet werden. Die Begründung genügt nach dem vorhin Gesagten den gesetzlichen Anforderungen hingegen nicht. Bei den Ausführungen handelt es sich um eine blosse Wiederholung dessen, was die Be- schwerdeführerin bereits bei der Vorinstanz vorgebracht hat (vgl. act. 1). Die Vor- instanz hielt dazu fest, materielle Einwendungen gegen den Bestand einer betrie- benen Forderung seien nicht mit Beschwerde, sondern mit Rechtsvorschlag ge- gen den Zahlungsbefehl in einem allfälligen Verfahren zur Beseitigung des Rechtsvorschlags im Sinne von Art. 79 ff. SchKG oder selbständig mit Klage nach Art. 85a SchKG geltend zu machen. Die Beschwerdeführerin sei damit in ihren Rechten genügend geschützt. Es sei nicht dargetan, inwiefern die Betreibung ausschliesslich der Schikane dienen solle. Die vorliegende Betreibung diene ge- mäss Begründung der Beschwerde und den eingereichten Beweismitteln offen- sichtlich der Durchsetzung von Forderungen aus einem per Ende Januar 2023 beendeten Mietverhältnis. Anhaltspunkte für eine schikanöse bzw. offensichtlich rechtsmissbräuchliche und damit nichtige Betreibung würden nicht vorliegen (act. 6 S. 2). Hierzu äussert sich die Beschwerdeführerin nicht. Eine Auseinander- setzung mit den vorinstanzlichen Erwägungen, wie sie auch von Laien im Ansatz</w:t>
      </w:r>
    </w:p>
    <w:p>
      <w:r>
        <w:t>- 4 - verlangt werden darf, unterbleibt. Am Rande ist zu bemerken, dass aus der Ab- weisung des Gesuches um Nichtbekanntgabe einer Betreibung an Dritte des Stadtammannamt- und Betreibungsamtes Zürich 11 vom 6. März 2024 hervor- geht, dass in der in Frage stehenden Betreibung Nr. 1 ein Verfahren auf Beseiti- gung des Rechtsvorschlages eingereicht worden sei (act. 2/4). Die Beschwerde- führerin äussert sich indessen weder vor Vorinstanz, noch im Beschwerdeverfah- ren, zum Stand dieses Verfahrens. Es ist daher auf die Berufung nicht einzutre- ten.</w:t>
      </w:r>
    </w:p>
    <w:p>
      <w:r>
        <w:rPr>
          <w:b/>
        </w:rPr>
        <w:t>E. 4</w:t>
      </w:r>
    </w:p>
    <w:p>
      <w:r>
        <w:t>Das Verfahren vor den kantonalen Aufsichtsbehörden in Schuldbetreibungs- und Konkurssachen ist kostenlos (Art. 20a Abs. 2 Ziff. 5 SchKG); Prozessent- 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