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PS240042 vom 20. März 2024</w:t>
      </w:r>
    </w:p>
    <w:p>
      <w:r>
        <w:t>ZH Obergericht, 2024-03-20, DE</w:t>
      </w:r>
    </w:p>
    <w:p>
      <w:r>
        <w:rPr>
          <w:b/>
        </w:rPr>
        <w:t xml:space="preserve">Quelle: </w:t>
      </w:r>
      <w:r>
        <w:t>https://mcp.opencaselaw.ch/entscheid/zh_obergericht_PS240042</w:t>
      </w:r>
    </w:p>
    <w:p>
      <w:r>
        <w:t>FR: ZH_OBERGERICHT PS240042 du 20 mars 2024</w:t>
      </w:r>
    </w:p>
    <w:p>
      <w:r>
        <w:t>IT: ZH_OBERGERICHT PS240042 del 20 marzo 2024</w:t>
      </w:r>
    </w:p>
    <w:p>
      <w:pPr>
        <w:pStyle w:val="Heading2"/>
      </w:pPr>
      <w:r>
        <w:t>Erwägungen</w:t>
      </w:r>
    </w:p>
    <w:p>
      <w:r>
        <w:rPr>
          <w:b/>
        </w:rPr>
        <w:t>E. 8</w:t>
      </w:r>
    </w:p>
    <w:p>
      <w:r>
        <w:t>März 2024 zugestellt (act. 5/1). 2. Gegen den vorerwähnten Beschluss erhob die Beschwerdeführerin mit Eingabe vom 13. März 2024 (Poststempel) rechtzeitig Beschwerde bei der hiesi- gen Instanz als obere kantonale Aufsichtsbehörde in Schuldbetreibungs- und Konkurssachen (act. 8 und Beilage act. 10) mit den folgenden Anträgen (act. 8 S. 1): "1. Der Beschluss ist aufzuheben 2. Zu gewähren ist eine verlängerte Frist als auch eine auf- schiebende Wirkung 3. Es ist ein Entscheid bezüglich der bisherigen Kosten zu fäl- len, im Hinblick auf die Haftpflichtrechtliche Vergleichsver- handlung." 3. Die vorinstanzlichen Akten wurden von Amtes wegen beigezogen (act. 1 - 5). Von der Einholung einer Beschwerdeantwort und einer Vernehmlas-</w:t>
      </w:r>
    </w:p>
    <w:p>
      <w:r>
        <w:t>- 3 - sung der Vorinstanz wurde abgesehen (Art. 20a Abs. 3 SchKG i.V.m. § 18 EG SchKG i.V.m. § 84 GOG und Art. 322 Abs. 1 sowie Art. 324 ZPO). Das Verfahren ist spruchreif. II. 1.1 Das Verfahren der Beschwerde in Schuldbetreibungs- und Konkurssa- chen (Art. 17 f. SchKG) richtet sich nach den Bestimmungen von Art. 20a Abs. 2 SchKG. Soweit das SchKG keine Bestimmungen enthält, regeln die Kantone das Verfahren (Art. 20a Abs. 3 SchKG). Im Kanton Zürich richtet sich dieses gemäss Art. 18 EG SchKG i.V.m. § 83 ff. GOG nach den Bestimmungen der ZPO über das Beschwerdeverfahren (Art. 319 ff. ZPO). 1.2 Mit der Beschwerde können die unrichtige Rechtsanwendung und die offensichtlich unrichtige Feststellung des Sachverhaltes geltend gemacht werden (Art. 320 ZPO). Die Beschwerde führende Partei hat sich mit der Begründung des angefochtenen Entscheides im Einzelnen auseinander zu setzen und wenigstens rudimentär darzulegen, an welchen Mängeln dieser ihrer Ansicht nach leidet und inwiefern er abgeändert werden sollte (Begründungslast). Wenn auch bei Parteien ohne anwaltliche Vertretung an diese Erfordernisse kein strenger Massstab ange- legt wird, ist bei gänzlich fehlender Auseinandersetzung bzw. Begründung auf die Beschwerde ohne Weiteres nicht einzutreten (vgl. OGer ZH PS110192 vom 21. Februar 2012, E. 5.1). 2. Neue Anträge, neue Tatsachen und neue Beweismittel sind im Be- schwerdeverfahren ausgeschlossen (Art. 326 ZPO). Das gilt auch im zweitin- stanzlichen betreibungsrechtlichen Beschwerdeverfahren (vgl. OGer ZH PS110019 vom 21. Februar 2011, E. 3.4). Auf den erstmals im Rechtsmittelver- fahren gestellten Antrag Ziff. 3 der Beschwerdeführerin ist daher nicht einzutreten.</w:t>
      </w:r>
    </w:p>
    <w:p>
      <w:r>
        <w:t>- 4 - 3. Die Vorinstanz erwog im angefochtenen Entscheid zusammengefasst, die Beschwerde sei so zu verstehen, dass die beiden Betreibungsverfahren Nr. 1 und Nr. 2 des Betreibungsamtes Furttal gestoppt werden sollten. Für die Aufhe- bung oder Einstellung einer Betreibung sei jedoch die gerichtliche Klage vorge- schrieben und der Beschwerdeweg ausgeschlossen, weshalb auf die Beschwerde nicht einzutreten sei. Die Möglichkeit der Einstellung oder Aufhebung einer Betrei- bung gemäss Art. 85 und Art. 85a SchKG wurden kurz erläutert. Weiter wurde er- wogen, dass die Betreibung Nr. 2 bereits mit der Erhebung des Rechtsvorschlags durch die Beschwerdeführerin vorerst gestoppt worden sei und erst nach dessen Beseitigung fortgeführt werden könne. Es mangle daher diesbezüglich an einem Rechtsschutzinteresse der Beschwerdeführerin, weshalb auch aus diesem Grund auf die Beschwerde betreffend Betreibung Nr. 2 nicht einzutreten sei (act. 4 = act. 7). 4. Die Beschwerdeführerin macht in der Rechtsmittelschrift nur Ausfüh- rungen zu Alimenten sowie einem Haftpflichtprozess und damit im Kern zum ma- teriellen Bestand der in Betreibung gesetzten Forderung(en). Bestand und Um- fang einer betriebenen Forderung können indes weder vom Betreibungsamt noch von der Aufsichtsbehörde im betreibungsrechtlichen Beschwerdeverfahren nach Art. 17 f. SchKG geprüft werden. Die Entscheidung materiellrechtlicher Fragen bleibt dem Gericht im Klageverfahren vorbehalten. Wie die Vorinstanz sodann zu- treffend erwogen hat, ist für die Aufhebung oder Einstellung einer Betreibung ge- mäss den Art. 85 und 85a SchKG zu verfahren. Zufolge erhobenen Rechtsvor- schlags in der Betreibung-Nr. 2 ist die Fortsetzung der Betreibung sodann aktuell gehemmt. Mit diesen Erwägungen setzt sich die Beschwerdeführerin nicht ansatz- weise auseinander. Vor dem Hintergrund des vorstehend Gesagten (Ziff. II.1.2) ist auf ihre Beschwerde somit nicht einzutreten.</w:t>
      </w:r>
    </w:p>
    <w:p>
      <w:r>
        <w:t>- 5 - 5. Der prozessuale Antrag der Beschwerdeführerin um Erteilung der auf- schiebenden Wirkung (act. 8) wird mit dem vorliegenden Entscheid gegenstands- los und ist abzuschreiben. III. Das Verfahren vor den kantonalen Aufsichtsbehörden in Schuldbetreibungs- und Konkurssachen ist grundsätzlich kostenlos (Art. 20a Abs. 2 Ziff. 5 SchKG) und es werden keine Parteientschädigungen zugesprochen.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