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PS240026 vom 23. Februar 2024</w:t>
      </w:r>
    </w:p>
    <w:p>
      <w:r>
        <w:t>ZH Obergericht, 2024-02-23, DE</w:t>
      </w:r>
    </w:p>
    <w:p>
      <w:r>
        <w:rPr>
          <w:b/>
        </w:rPr>
        <w:t xml:space="preserve">Quelle: </w:t>
      </w:r>
      <w:r>
        <w:t>https://mcp.opencaselaw.ch/entscheid/zh_obergericht_PS240026</w:t>
      </w:r>
    </w:p>
    <w:p>
      <w:r>
        <w:t>FR: ZH_OBERGERICHT PS240026 du 23 février 2024</w:t>
      </w:r>
    </w:p>
    <w:p>
      <w:r>
        <w:t>IT: ZH_OBERGERICHT PS240026 del 23 febbraio 2024</w:t>
      </w:r>
    </w:p>
    <w:p>
      <w:pPr>
        <w:pStyle w:val="Heading2"/>
      </w:pPr>
      <w:r>
        <w:t>Erwägungen</w:t>
      </w:r>
    </w:p>
    <w:p>
      <w:r>
        <w:rPr>
          <w:b/>
        </w:rPr>
        <w:t>E. 1</w:t>
      </w:r>
    </w:p>
    <w:p>
      <w:r>
        <w:t>Das Konkursgericht des Bezirksgerichtes Meilen eröffnete mit Urteil vom 31. Januar 2024 über den Beschwerdeführer den Konkurs für eine Forderung der Beschwerdegegnerin von Fr. 800.55 nebst Zins zu 5 % seit 25. Juli 2023 zuzüg- lich Fr. 373.05 Kostenbeteiligung KVG 02/2022, Fr. 26.15 Zinsen KVG, Fr. 300.-- Mahngebühren KVG 07/2022 - 06/2023 sowie Fr. 173.85 Betreibungskosten (act. 3). Dagegen erhob der Beschwerdeführer mit Eingabe vom 12. Februar 2024 rechtzeitig Beschwerde, beantragte die Aufhebung des Konkurses und stellte ein Gesuch um Erteilung der aufschiebenden Wirkung (act. 2). Mit Verfügung vom 15. Februar 2024 wurde der Beschwerde einstweilen die aufschiebende Wirkung zuerkannt (act. 9). Gleichzeitig wurde dem Beschwerdeführer Frist zur Leistung eines Kostenvorschusses in Höhe von Fr. 750.-- angesetzt. Der Kostenvorschuss wurde am 16. Februar 2024 geleistet (act. 11).</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3.1. Der Beschwerdeführer macht zunächst geltend, die Konkursforderung der Beschwerdegegnerin einschliesslich Zinsen und Kosten bezahlt zu haben. Zum Nachweis legt er die entsprechende Abrechnung des Betreibungsamtes Küs- nacht-Zollikon-Zumikon vom 9. Februar 2024 zu den Akten (act. 5/10; Betreibung Nr. …). Zudem legt der Beschwerdeführer eine Bestätigung des Konkursamtes Küsnacht vom 6. Februar 2024 vor, wonach er zur Deckung der Kosten des Kon-</w:t>
      </w:r>
    </w:p>
    <w:p>
      <w:r>
        <w:t>- 3 - kursamtes und des Konkursgerichtes im Falle der Konkursaufhebung einen Kos- tenvorschuss von Fr. 800.-- geleistet hat (act. 5/12). Damit hat der Beschwerde- führer den Konkursaufhebungsgrund der Tilgung im Sinne von Art. 174 Abs. 2 Ziff. 1 SchKG durch Urkunden nachgewiesen.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Es genügt, wenn die Zahlungsfähigkeit wahrscheinlicher ist als die Zahlungsunfä- higkeit. Zahlungsfähigkeit bedeutet, dass ausreichende liquide Mittel vorhanden sind, mit denen die Gläubiger bei Fälligkeit ihrer Forderungen befriedigt werden können. Der Schuldner hat also aufzuzeigen, dass er in der Lage ist, seinen lau- fenden Verbindlichkeiten nachzukommen sowie die bestehenden Schulden abzu- tragen. Grundsätzlich als zahlungsunfähig erweist sich ein Schuldner, der bei- spielsweise Konkursandrohungen anhäufen lässt, systematisch Rechtsvorschlag erhebt und selbst kleinere Beträge nicht bezahlt. Bloss vorübergehende Zah- lungsschwierigkeiten lassen den Schuldner noch nicht als zahlungsunfähig er- scheinen, ausser wenn keine wesentlichen Anhaltspunkte für eine Verbesserung seiner finanziellen Situation zu erkennen sind und er auf unabsehbare Zeit als illi- quid erscheint (BGer, 5A_297/2012 vom 10. Juli 2012, E. 2.3; BGer, 5A_115/2012 vom 20. April 2012, E. 3; BGer, 5A_118/2012 vom 20. April 2012, E. 3.1; 5A_328/2011 vom 11. August 2011, E. 2). 3.3. Der Beschwerdeführer ist mit der Firma "C._____" seit dem tt.mm.2021 im Handelsregister des Kantons Zürich eingetragen. Das Einzelunternehmen be- zweckt die Erbringung, Koordination, Planung und Ausführung von … und Handel mit damit zusammenhängenden Waren (act. 6). Zu seiner Zahlungsfähigkeit gibt der Beschwerdeführer zusammengefasst an, bei seinem Unternehmen handle es sich um ein junges, wachsendes und ertragreiches Unternehmen. In der Vergan- genheit sei er mehrfach betrieben worden, doch seien sämtliche Gläubiger mittler- weile befriedigt worden. Er sei unachtsam in Bezug auf die pünktliche Beglei- chung von Rechnungen gewesen und habe den eingehenden Betreibungen zu-</w:t>
      </w:r>
    </w:p>
    <w:p>
      <w:r>
        <w:t>- 4 - nächst nicht die gebührende Aufmerksamkeit geschenkt. Er habe sich offensicht- lich zu wenig um die administrativen Angelegenheiten gekümmert. Trotz genü- gender Einkünfte habe er die in Betreibung gesetzten Forderungen nicht umge- hend bezahlt. Erst nach der vom Konkursamt durchgeführten Einvernahme und nach rechtlicher Aufklärung durch seinen Vertreter seien ihm die gravierenden Folgen eines Konkursverfahrens und die Notwendigkeit, seine finanzielle Situation in Ordnung zu bringen, bewusst geworden. In der Folge habe er beim Betrei- bungsamt sämtliche ausstehenden, in Betreibung gesetzten Forderungen vollum- fänglich bezahlt (act. 2 S. 5 ff.). Im Geschäftsjahr 2022 habe er einen betriebli- chen Ertrag von Fr. 122'313.-- und einen Gewinn von Fr. 49'004.05 erzielt. Für die Zeit von Januar bis September 2023 werde provisorisch ein Gewinn von Fr. 62'340.04 ausgewiesen. Hochgerechnet auf das ganze Jahr 2023 sei mit ei- nem Gewinn von Fr. 83'120.– zu rechnen, was im Lichte der im letzten Quartal 2023 erzielten Erträge in Höhe von Fr. 47'000.-- plausibel erscheine. Die Ge- schäftsentwicklung sei positiv und die Auftragslage sei nach wie vor gut (act. 2 S. 4 f.). Seine privaten Verpflichtungen würden sich monatlich auf Fr. 4'400.-- be- laufen. Mit seinen jährlichen Einnahmen von Fr. 83'120.-- bzw. monatlich Fr. 6'925.-- könne er die laufenden Verpflichtungen decken (act. 2 S. 7 ff.). 3.4. Wesentlichen Aufschluss über das Zahlungsverhalten und die finanzielle Lage eines Schuldners vermittelt insbesondere das Betreibungsregister. Der vom Beschwerdeführer eingereichte Betreibungsregisterauszug des Betreibungsamtes Küsnacht-Zollikon-Zumikon (act. 5/9) weist per 9. Februar 2024 keine Verlust- scheine, aber 34 Betreibungen im Gesamtbetrag von Fr. 31'339.51 aus. Davon sind zwei Betreibungen über Fr. 946.60 bereits erloschen, in sieben Betreibungen über Fr. 13'158.23 wurde die Forderung nach Verwertung befriedigt und die übri- gen 25 Betreibungen über Fr. 17'234.68 (inklusive Konkursforderung, im Register- auszug mit Fr. 1'499.75 vermerkt) sind durch Bezahlung an Betreibungsamt/Gläu- biger erledigt worden. Zuletzt bezahlte der Beschwerdeführer am 9. Februar 2024 15 Betreibungen bzw. einen Betrag von rund Fr. 17'000.-- an das Betreibungsamt (act. 5/10 und act. 5/13-14). Demnach bestehen derzeit keine offenen Betreibun- gen mehr und unter dem Aspekt der Glaubhaftmachung ist gestützt auf die einge-</w:t>
      </w:r>
    </w:p>
    <w:p>
      <w:r>
        <w:t>- 5 - reichten Unterlagen deshalb davon auszugehen, dass einzig laufende Verbind- lichkeiten bestehen, die es zu decken gilt. 3.5. Nach eigener, detaillierter Aufstellung des Beschwerdeführers belaufen sich die privaten Verbindlichkeiten auf rund Fr. 4'400.-- pro Monat (vgl. act. 5/15-24). Die geschäftlichen Ausgaben (Aufwand) betrugen gemäss den eingereichten Er- folgsrechnungen im Jahr 2022 Fr. 73'309.70 (act. 5/2-3) und im Zeitraum von Ja- nuar bis September 2023 Fr. 58'540.36 (act. 5/6-7). Aufgerechnet auf das ganze Jahr 2023 (12/9 = Fr. 78'053.81) ergibt dies monatlichen Ausgaben in Höhe von Fr. 6'504.48. Mit diesem Betrag ist einstweilen auch für das laufende Jahr zu rechnen, zumal ein beträchtlicher Teil der Aufträge offenbar auf Stammkunden entfällt und deshalb davon auszugehen ist, dass sich der geschäftliche Betrieb auch in Zukunft ungefähr im gleichen Rahmen bewegen wird (vgl. act. 5/8). 3.6. Diesen Verbindlichkeiten standen Erträge in Höhe von Fr. 122'313.75 im Jahr 2022 und Fr. 120'880.40 von Januar bis September 2023 bzw. Fr. 161'173.86 aufgerechnet auf das gesamte Jahr 2023 gegenüber (act. 5/2-3 und act. 5/6-7). Hinzu kommt das private Einkommen des Beschwerdeführers, welches jeweils dem Unternehmensgewinn entspricht. Dieser belief sich im Jahr 2022 auf Fr. 49'004.05 und von Januar bis September 2023 auf Fr. 62'340.04 bzw. aufgerechnet auf das gesamte Jahr 2023 auf Fr. 83'120.05 (act. 5/2-3 und act. 5/6-7). Demnach ist wie auch bei den Ausgaben gestützt auf die Zahlen von 2023 (vgl. E. 3.6 vorstehend) derzeit von einem monatlichen Ein- kommen des Beschwerdeführers in Höhe von Fr. 6'926.67 auszugehen. Ange- sichts der positiven Umsatz- und Gewinnentwicklung seit Beginn der unternehme- rischen Tätigkeit erscheint die Annahme nicht unrealistisch, dass sich der Gewinn zukünftig gar noch erhöhen wird. Damit vermag der Beschwerdeführer glaubhaft zu machen, dass es ihm möglich ist, auch die laufenden privaten und geschäftli- chen Verbindlichkeiten zu decken. 3.7. Vor diesem Hintergrund ist insgesamt glaubhaft, dass die vorliegende Kon- kurseröffnung nicht auf eine ständige Illiquidität des Beschwerdeführers zurückzu- führen ist, zumal der Beschwerdeführer offenbar in der Lage war, am 9. Fe- bruar 2024 den Betrag für zahlreiche offene Betreibungen aufzubringen, und da-</w:t>
      </w:r>
    </w:p>
    <w:p>
      <w:r>
        <w:t>- 6 - von auszugehen ist, dass er auch den laufenden Verbindlichkeiten wird nachkom- men können. Vielmehr lassen die Betreibungen und die Konkurseröffnung auf eine unzureichende Zahlungsadministration schliessen, die es jedenfalls dringend zu verbessern gilt. Insgesamt erscheint aber die wirtschaftliche Lebensfähigkeit des Beschwerdeführers einstweilen wahrscheinlicher als das Gegenteil. Daher gilt der Beschwerdeführer nach dem Gesagten zur Zeit als zahlungsfähig im Sinne von Art. 174 Abs. 2 SchKG. Es ist aber darauf hinzuweisen, dass bei einer weite- ren Konkurseröffnung in einem zweiten Beschwerdeverfahren strengere Anforde- rungen an die Glaubhaftmachung der Zahlungsfähigkeit gestellt würden.</w:t>
      </w:r>
    </w:p>
    <w:p>
      <w:r>
        <w:rPr>
          <w:b/>
        </w:rPr>
        <w:t>E. 4</w:t>
      </w:r>
    </w:p>
    <w:p>
      <w:r>
        <w:t>Die Beschwerde ist gutzuheissen. Die Kosten des Konkurseröffnungs- und des Beschwerdeverfahrens wurden durch die Zahlungssäumnis des Beschwerde- führers verursacht und sind daher ihm aufzuerlegen, obwohl der Konkurs letztlich aufgehoben werden kann. Aus dem gleichen Grund ist dem Beschwerdeführer keine Prozessentschädigung zuzusprechen und auch der Beschwerdegegnerin ist bei diesem Ausgang sowie mangels entstandener Umtriebe keine Prozessent-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