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PS230251 vom 15. Februar 2024</w:t>
      </w:r>
    </w:p>
    <w:p>
      <w:r>
        <w:t>ZH Obergericht, 2024-02-15, DE</w:t>
      </w:r>
    </w:p>
    <w:p>
      <w:r>
        <w:rPr>
          <w:b/>
        </w:rPr>
        <w:t xml:space="preserve">Quelle: </w:t>
      </w:r>
      <w:r>
        <w:t>https://mcp.opencaselaw.ch/entscheid/zh_obergericht_PS230251</w:t>
      </w:r>
    </w:p>
    <w:p>
      <w:r>
        <w:t>FR: ZH_OBERGERICHT PS230251 du 15 février 2024</w:t>
      </w:r>
    </w:p>
    <w:p>
      <w:r>
        <w:t>IT: ZH_OBERGERICHT PS230251 del 15 febbraio 2024</w:t>
      </w:r>
    </w:p>
    <w:p>
      <w:pPr>
        <w:pStyle w:val="Heading2"/>
      </w:pPr>
      <w:r>
        <w:t>Erwägungen</w:t>
      </w:r>
    </w:p>
    <w:p>
      <w:r>
        <w:rPr>
          <w:b/>
        </w:rPr>
        <w:t>E. 1.1</w:t>
      </w:r>
    </w:p>
    <w:p>
      <w:r>
        <w:t>Die Vorinstanz hat als untere Aufsichtsbehörde über Betreibungsämter ent- schieden (Art. 13 Abs. 2 SchKG in Verbindung mit Art. 17 SchKG). Solche Anord- nungen können innert 10 Tagen nach ihrer Eröffnung an die obere kantonale Auf- sichtsbehörde weitergezogen werden (Art. 18 Abs. 1 SchKG). Die Vorinstanz stellte den angefochtenen Beschluss vom 15. Dezember 2023 am 20. Dezember 2023 dem Betreibungsamt Möriken-Wildegg zu (act. 4). Dieses übergab sein Rechtsmittel am 23. Dezember 2023 (Track&amp;Trace-Beleg; act. 7) und damit recht- zeitig innerhalb der 10-Tagesfrist der Schweizerischen Post.</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die Begründung zum Ausdruck bringen, an welchen Män- geln der angefochtene Entscheid leidet resp. weshalb dieser nach Auffassung der beschwerdeführenden Partei unrichtig sein soll, ansonsten auf die Beschwerde nicht eingetreten wird. Mit der Beschwerde kann die unrichtige Rechtsanwendung</w:t>
      </w:r>
    </w:p>
    <w:p>
      <w:r>
        <w:t>- 4 - und die offensichtlich unrichtige Feststellung des Sachverhaltes geltend gemacht werden (Art. 320 ZPO). Neue Tatsachen und Beweismittel sind im Beschwerde- verfahren ausgeschlossen (Art. 326 ZPO; OGer ZH, PS180175 vom 18. Dezem- ber 2018, E. 4.3). Die vorliegende Beschwerde enthält ein klares Rechtsbegehren und wurde ausreichend begründet. Damit entspricht sie den formellen Vorausset- zungen von Art. 321 Abs. 1 ZPO. 2. Die Vorinstanz erwog zusammengefasst, dem ersuchenden Betreibungsamt stehe gegen die Verweigerung der Rechtshilfe durch das ersuchte Betreibungs- amt der Beschwerdeweg nicht offen. Vielmehr habe das ersuchende Betreibungs- amt die an der verlangten Massnahme interessierten Drittpersonen von der Ab- lehnung durch das ersuchte Amt zu benachrichtigen, so dass diese gegebenen- falls selbst Beschwerde nach Art. 17 SchKG führen könnten. Gleiches müsse gel- ten, wenn ein Betreibungsamt – wie vorliegend – Rechtshilfe leiste und dafür Kos- ten erhebe. Damit würden sich Erwägungen zur Höhe der Gebührenrechnung Nr. 2 erübrigen (act. 3 = act. 6 = act. 8).</w:t>
      </w:r>
    </w:p>
    <w:p>
      <w:r>
        <w:rPr>
          <w:b/>
        </w:rPr>
        <w:t>E. 2</w:t>
      </w:r>
    </w:p>
    <w:p>
      <w:r>
        <w:t>Am 12. Dezember 2023 erhob das Betreibungsamt Möriken-Wildegg beim Be- zirksgericht Uster als untere kantonale Aufsichtsbehörde über Schuldbetreibung und Konkurs (fortan Vorinstanz) Beschwerde mit dem Antrag, die Gebührenrech- nung Nr. 1 vollumfänglich aufzuheben und die Gebührenrechnung Nr. 2 von Fr. 162.90 auf Fr. 72.90 zu reduzieren (act. 1 S. 2). Mit Beschluss vom 15. De-</w:t>
      </w:r>
    </w:p>
    <w:p>
      <w:r>
        <w:t>- 3 - zember 2023 trat die Vorinstanz auf diese Beschwerde nicht ein (act. 3 = act. 6 = act. 8).</w:t>
      </w:r>
    </w:p>
    <w:p>
      <w:r>
        <w:rPr>
          <w:b/>
        </w:rPr>
        <w:t>E. 3</w:t>
      </w:r>
    </w:p>
    <w:p>
      <w:r>
        <w:t>Das Betreibungsamt Möriken-Wildegg hält diesen Erwägungen Folgendes entge- gen: Den Betreibungsorganen komme im Beschwerdeverfahren nur eine be- schränkte Beschwerdelegitimation zu. Selbst diese Legitimation bestehe jedoch in der Regel erst im zweitinstanzlichen Beschwerdeverfahren und vor Bundesge- richt, weil Betreibungsorgane gegen ihre eigenen Verfügungen und Unterlassun- gen grundsätzlich keine Beschwerde führen könnten. Hiervon gebe es jedoch Ausnahmen: So sei auch im erstinstanzlichen Beschwerdeverfahren möglich, dass ein Betreibungsorgan die Verfügung oder Unterlassung eines anderen Or- gans anfechte. Im Anwendungsbereich der Gebührenverordnung zum Bundesge- setz über Schuldbetreibung und Konkurs (GebV SchKG) stehe das Beschwerde- recht jedem von einer Kostenverfügung Betroffenem zu, also auch dem ersuchen- den Betreibungsamt. Folglich sei der vorinstanzliche Beschluss aufzuheben (act. 7 S. 2).</w:t>
      </w:r>
    </w:p>
    <w:p>
      <w:r>
        <w:t>- 5 -</w:t>
      </w:r>
    </w:p>
    <w:p>
      <w:r>
        <w:rPr>
          <w:b/>
        </w:rPr>
        <w:t>E. 4.1</w:t>
      </w:r>
    </w:p>
    <w:p>
      <w:r>
        <w:t>Betreibungs- und Konkursämter nehmen auf Verlangen von Ämtern, aus- seramtlichen Konkursverwaltungen, Sachwaltern und Liquidatoren eines anderen Kreises Amtshandlungen vor (Art. 4 Abs. 1 SchKG). Diese Rechtshilfe wird geleis- tet, indem das für den betreffenden Kreis zuständige Betreibungs- oder Konkur- samt für das ersuchende Amt requisitorisch tätig wird. Das Betreibungs- oder Konkursamt ersucht das örtlich zuständige Amt um Vorkehrungen, die ausserhalb seines eigenen Kreises zu treffen sind. Das requirierte Amt muss die verlangte Tätigkeit vornehmen (KUKO SchKG-Möckli, 2. A., Art. 4 N 6).</w:t>
      </w:r>
    </w:p>
    <w:p>
      <w:r>
        <w:rPr>
          <w:b/>
        </w:rPr>
        <w:t>E. 4.2</w:t>
      </w:r>
    </w:p>
    <w:p>
      <w:r>
        <w:t>Weigert sich das ersuchte Betreibungsamt, die Rechtshilfehandlung vorzu- nehmen, steht dem ersuchenden Betreibungsamt gegen diesen Entscheid kein Beschwerdeweg nach Art. 17 SchKG offen (BSK SchKG I-Cometta/Möckli, 3. A., Art. 17 N 43). Vielmehr hat das ersuchende Betreibungsamt den an der verlang- ten Massnahme interessierten Drittpersonen mitzuteilen, dass das ersuchte Amt es ablehne, die Rechtshilfehandlung vorzunehmen. In der Folge können diese Personen gegebenenfalls selbst Beschwerde nach Art. 17 SchKG führen (BGE 141 III 580 E. 1.2.1; BGE 71 III 75 E. 3; Lorandi, Betreibungsrechtliche Be- schwerde und Nichtigkeit, Kommentar zu den Artikeln 13–30 SchKG, Basel 2000, Art. 17 N 194). Vorliegend hat sich das Betreibungsamt Volketswil bloss anfäng- lich geweigert, den Schuldner rechtshilfeweise einzuvernehmen (act. 2/2/1). Auf ein entsprechendes Wiedererwägungsgesuch des Betreibungsamtes Möriken- Wildegg hin (act. 2/3) nahm es die verlangte Handlung am Ende doch noch vor (act. 2/4/1 f.). Entsprechend richtet sich Beschwerde des Betreibungsamtes Möri- ken-Wildegg nicht gegen die Rechtshilfehandlung als solche.</w:t>
      </w:r>
    </w:p>
    <w:p>
      <w:r>
        <w:rPr>
          <w:b/>
        </w:rPr>
        <w:t>E. 4.3</w:t>
      </w:r>
    </w:p>
    <w:p>
      <w:r>
        <w:t>Vielmehr ficht das Betreibungsamt Möriken-Wildegg die beiden Gebühren- rechnungen an, die ihr das Betreibungsamt Volketswil gesandt hat. Entgegen der Vorinstanz (act. 6 E. 2.3) kann die vorstehende Rechtsprechung zur grundsätzli- chen Nichtanfechtbarkeit von verweigerten Rechtshilfehandlungen (BGE 141 III 580 E. 1.2.1) nicht analog auf die Gebührenrechnungen des ersuchten Betrei- bungsamtes angewandt werden. Vielmehr räumt die Rechtsprechung einem Zwangsvollstreckungsorgan immer dann ein schutzwürdiges Interesse an der Be-</w:t>
      </w:r>
    </w:p>
    <w:p>
      <w:r>
        <w:t>- 6 - schwerdeführung ein, wenn von einer Anordnung fiskalische Interessen seines ei- genen Gemeinwesens, wie insbesondere Gebührenfragen, betroffen sind (BGE 144 III 247 E. 2.2; BGE 134 III 136 E. 1.3; BGE 105 III 35 E. 1; BGE 53 III 145 E. 1; BSK SchKG I-Cometta/Möckli, 3. A., Art. 17 N 42; KUKO SchKG- Dieth/Wohl, 2. A., Art. 17 N 20). Der Begriff des fiskalischen Interesses ist dabei weit zu verstehen. Er umfasst namentlich auch Kosten, die vom jeweiligen Ge- meinwesen vorgeschossen werden müssen (vgl. BGE 102 III 161 E. 1). Entspre- chend spielt es für die Frage der Anfechtbarkeit einer Gebührenrechnung keine Rolle, wer am Ende diese Kosten tragen muss. Folglich verneinte die Vorinstanz zu Unrecht die Legitimation des Betreibungsamtes Möriken-Wildegg.</w:t>
      </w:r>
    </w:p>
    <w:p>
      <w:r>
        <w:rPr>
          <w:b/>
        </w:rPr>
        <w:t>E. 5</w:t>
      </w:r>
    </w:p>
    <w:p>
      <w:r>
        <w:t>Bei einer Gutheissung hebt die Rechtsmittelinstanz entweder den angefochtenen Entscheid auf und weist die Sache an die Vorinstanz zurück; oder sie entscheidet neu, wenn die Sache spruchreif ist (Art. 327 Abs. 3 ZPO). Die Rechtsmittelinstanz verzichtet soweit möglich auf einen kassatorischen Entscheid, um so das verfas- sungsrechtliche Beschleunigungsgebot zu verwirklichen (Art. 29 Abs. 1 BV; OFK ZPO-Gehri, 3. A., Art. 327 N 5). Ein reformatorischer Entscheid kommt freilich nur dann infrage, wenn der massgebende Sachverhalt bereits feststeht, sodass die Rechtsmittelinstanz ohne weitere Sachverhaltsabklärungen direkt selbst entschei- den kann (DIKE Komm. ZPO-Steininger, 2. A., Art. 327 N 3; CHK ZPO-Sutter- Somm/Seiler, Art. 327 N 8).</w:t>
      </w:r>
    </w:p>
    <w:p>
      <w:r>
        <w:rPr>
          <w:b/>
        </w:rPr>
        <w:t>E. 6.1</w:t>
      </w:r>
    </w:p>
    <w:p>
      <w:r>
        <w:t>Das Betreibungsamt Volketswil fakturierte dem Betreibungsamt Möriken- Wildegg am 1. Dezember 2023 Fr. 18.30 (Gebührenrechnung Nr. 1; act. 2/2/2) und am 8. Dezember 2023 Fr. 162.90 (Gebührenrechnung Nr. 2; act. 2/4/3). Dem- gegenüber verlangt das Betreibungsamt Möriken-Wildegg vom Betreibungsamt Volketswil, dass es seine Gebührenrechnung Nr. 1 vollumfänglich aufhebe. Zur Begründung führte das Betreibungsamt Möriken-Wildegg aus, das Betreibungs- amt Volketswil habe seinem Rechtshilfegesuch wiedererwägungsweise stattgege-</w:t>
      </w:r>
    </w:p>
    <w:p>
      <w:r>
        <w:t>- 7 - ben. Damit habe dieses Betreibungsamt seine ursprüngliche Verfügung vom 1. Dezember 2023 aufgehoben (act. 1 S. 2).</w:t>
      </w:r>
    </w:p>
    <w:p>
      <w:r>
        <w:rPr>
          <w:b/>
        </w:rPr>
        <w:t>E. 6.2</w:t>
      </w:r>
    </w:p>
    <w:p>
      <w:r>
        <w:t>Hebt eine Betreibungsbehörde ihre eigene Verfügung wiedererwägungs- weise auf, dann fallen damit nicht nur die ursprüngliche Hauptanordnung, sondern auch die Nebenfolgen dahin. Eine aufgehobene Verfügung begründet daher kei- nen Anspruch auf Gebühren und Entschädigungen (BGE 139 III 44 E. 3.3; vgl. BSK SchKG I-Emmel, 3. A., Art. 68 N 20). Nach der Rückweisung des Ver- fahrens, zu der es gemäss den nachstehenden Erwägungen kommt, wird das die Vorinstanz bei der Neubeurteilung zu berücksichtigen haben.</w:t>
      </w:r>
    </w:p>
    <w:p>
      <w:r>
        <w:rPr>
          <w:b/>
        </w:rPr>
        <w:t>E. 7.1</w:t>
      </w:r>
    </w:p>
    <w:p>
      <w:r>
        <w:t>Das Betreibungsamt Möriken-Wildegg wendet gegen die Gebührenrech- nung Nr. 2 vom 8. Dezember 2023 (act. 2/4/1 und act. 2/4/3) Folgendes ein: Die Kosten für die Revision einer Einkommenspfändung seien in Art. 22 Abs. 3 in Ver- bindung mit Art. 20 Abs. 1 GebV SchKG abschliessend geregelt. Weitere Kosten dürften hierfür nicht erhoben werden. Ein Mehraufwand könne gemäss Art. 20 Abs. 3 GebV SchKG nur bei einem sehr aufwändigen Vollzug von mehr als einer Stunde geltend gemacht werden. Dies sei bei einer blossen Revision der Einkom- menspfändung wohl nicht gegeben. Dem Einvernahmebericht seien auch keine Kopien beigelegen. Interne Kopien gälten als übliche Büroaufwendungen und dürften dem Schuldner nicht überbunden werden. Entsprechend seien die Positio- nen Mehraufwand von Fr. 80.– und Kopie von Fr. 10.– zu streichen, so dass sich der neu zu bezahlende Betrag auf Fr. 72.90 reduziere (act. 1 S. 2).</w:t>
      </w:r>
    </w:p>
    <w:p>
      <w:r>
        <w:t>- 8 -</w:t>
      </w:r>
    </w:p>
    <w:p>
      <w:r>
        <w:rPr>
          <w:b/>
        </w:rPr>
        <w:t>E. 7.2</w:t>
      </w:r>
    </w:p>
    <w:p>
      <w:r>
        <w:t>Die Gebührenrechnung Nr. 2 vom 8. Dezember 2023 setzt sich aus den folgenden Positionen zusammen (act. 2/4/1): Vorladung Fr. 9.10 Tel. Fr. 5.00 Vollzug Fr. 32.50 Mehraufwand Fr. 80.00 Abschrift Fr. 16.00 Protokoll Fr. 5.00 Kopie Fr. 10.00 Porto Fr. 5.30 Total Fr. 162.90 Das Betreibungsamt Möriken-Wildegg erachtet die Positionen Mehraufwand (Fr. 80.–) und Kopie (Fr. 10.–) als nicht ausgewiesen. Ob dem Betreibungsamt Volketswil durch die Vornahme der Rechtshilfehandlung tatsächlich der behaup- tete Mehr- bzw. Kopieraufwand entstanden ist, lässt sich aufgrund der Akten und insbesondere ohne eine Vernehmlassung des Betreibungsamtes Volketswil ein- zuholen, was die Vorinstanz unterliess, weil sie die Beschwerdelegitimation nicht für gegeben hielt, nicht beantworten.</w:t>
      </w:r>
    </w:p>
    <w:p>
      <w:r>
        <w:rPr>
          <w:b/>
        </w:rPr>
        <w:t>E. 7.3</w:t>
      </w:r>
    </w:p>
    <w:p>
      <w:r>
        <w:t>Folglich ist der vorinstanzliche Entscheid aufzuheben und die Sache zur Ergänzung des Verfahrens sowie zur Neubeurteilung an die Vorinstanz zurückzu- weisen. III. Das Beschwerdeverfahren ist kostenlos (Art. 20a Abs. 2 Ziff. 5 SchKG und Art. 61 Abs. 2 lit. a GebV SchKG). Parteientschädigungen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